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0D3A" w14:textId="77777777" w:rsidR="00717C93" w:rsidRPr="009A739F" w:rsidRDefault="00717C93" w:rsidP="00717C93">
      <w:pPr>
        <w:tabs>
          <w:tab w:val="left" w:pos="720"/>
        </w:tabs>
        <w:spacing w:after="0" w:line="276" w:lineRule="auto"/>
        <w:jc w:val="right"/>
        <w:rPr>
          <w:rFonts w:ascii="Times New Roman" w:eastAsia="Times New Roman" w:hAnsi="Times New Roman" w:cs="Times New Roman"/>
          <w:bCs/>
          <w:sz w:val="24"/>
          <w:szCs w:val="24"/>
          <w:lang w:val="ro-MD"/>
        </w:rPr>
      </w:pPr>
      <w:bookmarkStart w:id="0" w:name="_GoBack"/>
      <w:bookmarkEnd w:id="0"/>
      <w:r w:rsidRPr="009A739F">
        <w:rPr>
          <w:rFonts w:ascii="Times New Roman" w:eastAsia="Times New Roman" w:hAnsi="Times New Roman" w:cs="Times New Roman"/>
          <w:bCs/>
          <w:sz w:val="24"/>
          <w:szCs w:val="24"/>
          <w:lang w:val="ro-MD"/>
        </w:rPr>
        <w:t xml:space="preserve">Anexă </w:t>
      </w:r>
    </w:p>
    <w:p w14:paraId="411E1DFF" w14:textId="77777777" w:rsidR="00717C93" w:rsidRPr="009A739F" w:rsidRDefault="00717C93" w:rsidP="00717C93">
      <w:pPr>
        <w:tabs>
          <w:tab w:val="left" w:pos="720"/>
        </w:tabs>
        <w:spacing w:after="0" w:line="276" w:lineRule="auto"/>
        <w:jc w:val="right"/>
        <w:rPr>
          <w:rFonts w:ascii="Times New Roman" w:eastAsia="Times New Roman" w:hAnsi="Times New Roman" w:cs="Times New Roman"/>
          <w:bCs/>
          <w:sz w:val="24"/>
          <w:szCs w:val="24"/>
          <w:lang w:val="ro-MD"/>
        </w:rPr>
      </w:pPr>
      <w:r w:rsidRPr="009A739F">
        <w:rPr>
          <w:rFonts w:ascii="Times New Roman" w:eastAsia="Times New Roman" w:hAnsi="Times New Roman" w:cs="Times New Roman"/>
          <w:bCs/>
          <w:sz w:val="24"/>
          <w:szCs w:val="24"/>
          <w:lang w:val="ro-MD"/>
        </w:rPr>
        <w:t xml:space="preserve">la Hotărârea Curții de Conturi </w:t>
      </w:r>
    </w:p>
    <w:p w14:paraId="31370E14" w14:textId="3DD5F92F" w:rsidR="00FA386E" w:rsidRPr="003364F4" w:rsidRDefault="00717C93" w:rsidP="00717C93">
      <w:pPr>
        <w:tabs>
          <w:tab w:val="left" w:pos="720"/>
        </w:tabs>
        <w:spacing w:after="0" w:line="276" w:lineRule="auto"/>
        <w:jc w:val="right"/>
        <w:rPr>
          <w:rFonts w:ascii="Times New Roman" w:eastAsia="Times New Roman" w:hAnsi="Times New Roman" w:cs="Times New Roman"/>
          <w:b/>
          <w:bCs/>
          <w:color w:val="1F4E79" w:themeColor="accent1" w:themeShade="80"/>
          <w:sz w:val="24"/>
          <w:szCs w:val="24"/>
          <w:lang w:val="ro-MD"/>
        </w:rPr>
      </w:pPr>
      <w:r w:rsidRPr="009A739F">
        <w:rPr>
          <w:rFonts w:ascii="Times New Roman" w:eastAsia="Times New Roman" w:hAnsi="Times New Roman" w:cs="Times New Roman"/>
          <w:bCs/>
          <w:sz w:val="24"/>
          <w:szCs w:val="24"/>
          <w:lang w:val="ro-MD"/>
        </w:rPr>
        <w:t xml:space="preserve"> nr.</w:t>
      </w:r>
      <w:r w:rsidR="00FB3078">
        <w:rPr>
          <w:rFonts w:ascii="Times New Roman" w:eastAsia="Times New Roman" w:hAnsi="Times New Roman" w:cs="Times New Roman"/>
          <w:bCs/>
          <w:sz w:val="24"/>
          <w:szCs w:val="24"/>
          <w:lang w:val="ro-MD"/>
        </w:rPr>
        <w:t>67</w:t>
      </w:r>
      <w:r w:rsidRPr="009A739F">
        <w:rPr>
          <w:rFonts w:ascii="Times New Roman" w:eastAsia="Times New Roman" w:hAnsi="Times New Roman" w:cs="Times New Roman"/>
          <w:bCs/>
          <w:sz w:val="24"/>
          <w:szCs w:val="24"/>
          <w:lang w:val="ro-MD"/>
        </w:rPr>
        <w:t xml:space="preserve"> din </w:t>
      </w:r>
      <w:r>
        <w:rPr>
          <w:rFonts w:ascii="Times New Roman" w:eastAsia="Times New Roman" w:hAnsi="Times New Roman" w:cs="Times New Roman"/>
          <w:bCs/>
          <w:sz w:val="24"/>
          <w:szCs w:val="24"/>
          <w:lang w:val="ro-MD"/>
        </w:rPr>
        <w:t>20 decembrie</w:t>
      </w:r>
      <w:r w:rsidRPr="009A739F">
        <w:rPr>
          <w:rFonts w:ascii="Times New Roman" w:eastAsia="Times New Roman" w:hAnsi="Times New Roman" w:cs="Times New Roman"/>
          <w:bCs/>
          <w:sz w:val="24"/>
          <w:szCs w:val="24"/>
          <w:lang w:val="ro-MD"/>
        </w:rPr>
        <w:t xml:space="preserve"> 2024</w:t>
      </w:r>
    </w:p>
    <w:p w14:paraId="2823E418" w14:textId="77777777" w:rsidR="00FA386E" w:rsidRPr="00483DC7" w:rsidRDefault="00FA386E" w:rsidP="00FA386E">
      <w:pPr>
        <w:spacing w:after="0" w:line="276" w:lineRule="auto"/>
        <w:rPr>
          <w:rFonts w:ascii="Times New Roman" w:hAnsi="Times New Roman" w:cs="Times New Roman"/>
          <w:b/>
          <w:sz w:val="28"/>
          <w:szCs w:val="28"/>
          <w:lang w:val="ro-MD"/>
        </w:rPr>
      </w:pPr>
    </w:p>
    <w:p w14:paraId="03F2237F" w14:textId="77777777" w:rsidR="00FA386E" w:rsidRPr="00483DC7" w:rsidRDefault="00FA386E" w:rsidP="00FA386E">
      <w:pPr>
        <w:spacing w:after="0" w:line="276" w:lineRule="auto"/>
        <w:jc w:val="center"/>
        <w:rPr>
          <w:rFonts w:ascii="Times New Roman" w:hAnsi="Times New Roman" w:cs="Times New Roman"/>
          <w:b/>
          <w:sz w:val="28"/>
          <w:szCs w:val="28"/>
          <w:lang w:val="ro-MD"/>
        </w:rPr>
      </w:pPr>
      <w:r w:rsidRPr="00483DC7">
        <w:rPr>
          <w:rFonts w:ascii="Times New Roman" w:hAnsi="Times New Roman" w:cs="Times New Roman"/>
          <w:b/>
          <w:noProof/>
          <w:sz w:val="28"/>
          <w:szCs w:val="28"/>
        </w:rPr>
        <w:drawing>
          <wp:inline distT="0" distB="0" distL="0" distR="0" wp14:anchorId="4BA2BDCC" wp14:editId="3D58158C">
            <wp:extent cx="1377950"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1383665"/>
                    </a:xfrm>
                    <a:prstGeom prst="rect">
                      <a:avLst/>
                    </a:prstGeom>
                    <a:noFill/>
                  </pic:spPr>
                </pic:pic>
              </a:graphicData>
            </a:graphic>
          </wp:inline>
        </w:drawing>
      </w:r>
    </w:p>
    <w:p w14:paraId="7B486A24" w14:textId="77777777" w:rsidR="00FA386E" w:rsidRPr="00483DC7" w:rsidRDefault="00FA386E" w:rsidP="00FA386E">
      <w:pPr>
        <w:spacing w:after="0" w:line="276" w:lineRule="auto"/>
        <w:jc w:val="center"/>
        <w:rPr>
          <w:rFonts w:ascii="Times New Roman" w:hAnsi="Times New Roman" w:cs="Times New Roman"/>
          <w:b/>
          <w:sz w:val="28"/>
          <w:szCs w:val="28"/>
          <w:lang w:val="ro-MD"/>
        </w:rPr>
      </w:pPr>
    </w:p>
    <w:p w14:paraId="241CF153" w14:textId="77777777" w:rsidR="00FA386E" w:rsidRPr="00483DC7" w:rsidRDefault="00FA386E" w:rsidP="00FA386E">
      <w:pPr>
        <w:spacing w:after="0" w:line="276" w:lineRule="auto"/>
        <w:jc w:val="center"/>
        <w:rPr>
          <w:rFonts w:ascii="Times New Roman" w:hAnsi="Times New Roman" w:cs="Times New Roman"/>
          <w:b/>
          <w:sz w:val="28"/>
          <w:szCs w:val="28"/>
          <w:lang w:val="ro-MD"/>
        </w:rPr>
      </w:pPr>
      <w:r w:rsidRPr="00483DC7">
        <w:rPr>
          <w:rFonts w:ascii="Times New Roman" w:hAnsi="Times New Roman" w:cs="Times New Roman"/>
          <w:b/>
          <w:sz w:val="28"/>
          <w:szCs w:val="28"/>
          <w:lang w:val="ro-MD"/>
        </w:rPr>
        <w:t>CURTEA DE CONTURI A REPUBLICII MOLDOVA</w:t>
      </w:r>
    </w:p>
    <w:p w14:paraId="0562B594" w14:textId="77777777" w:rsidR="00FA386E" w:rsidRPr="00483DC7" w:rsidRDefault="00FA386E" w:rsidP="00FA386E">
      <w:pPr>
        <w:tabs>
          <w:tab w:val="left" w:pos="720"/>
        </w:tabs>
        <w:spacing w:after="0" w:line="276" w:lineRule="auto"/>
        <w:jc w:val="right"/>
        <w:rPr>
          <w:rFonts w:ascii="Times New Roman" w:eastAsia="Times New Roman" w:hAnsi="Times New Roman" w:cs="Times New Roman"/>
          <w:b/>
          <w:bCs/>
          <w:color w:val="1F4E79" w:themeColor="accent1" w:themeShade="80"/>
          <w:sz w:val="24"/>
          <w:szCs w:val="24"/>
          <w:lang w:val="ro-MD"/>
        </w:rPr>
      </w:pPr>
    </w:p>
    <w:tbl>
      <w:tblPr>
        <w:tblW w:w="0" w:type="auto"/>
        <w:tblBorders>
          <w:top w:val="thinThickSmallGap" w:sz="12" w:space="0" w:color="auto"/>
          <w:bottom w:val="thickThinSmallGap" w:sz="12" w:space="0" w:color="auto"/>
        </w:tblBorders>
        <w:tblLook w:val="04A0" w:firstRow="1" w:lastRow="0" w:firstColumn="1" w:lastColumn="0" w:noHBand="0" w:noVBand="1"/>
      </w:tblPr>
      <w:tblGrid>
        <w:gridCol w:w="8931"/>
      </w:tblGrid>
      <w:tr w:rsidR="00FA386E" w:rsidRPr="00483DC7" w14:paraId="05782422" w14:textId="77777777" w:rsidTr="00EE670D">
        <w:trPr>
          <w:trHeight w:val="435"/>
        </w:trPr>
        <w:tc>
          <w:tcPr>
            <w:tcW w:w="8931" w:type="dxa"/>
          </w:tcPr>
          <w:p w14:paraId="36DC99A0" w14:textId="77777777" w:rsidR="00FA386E" w:rsidRPr="00483DC7" w:rsidRDefault="00FA386E" w:rsidP="00EE670D">
            <w:pPr>
              <w:spacing w:after="0" w:line="276" w:lineRule="auto"/>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MD-2001, mun. Chișinău, bd. Ștefan cel Mare și Sfânt nr.69, tel.: (+373 22) 26 60 02, fax: (+373 22) 26 61 00,</w:t>
            </w:r>
          </w:p>
          <w:p w14:paraId="47FE6511" w14:textId="77777777" w:rsidR="00FA386E" w:rsidRPr="00C71559" w:rsidRDefault="00A148BF" w:rsidP="00EE670D">
            <w:pPr>
              <w:spacing w:after="0" w:line="276" w:lineRule="auto"/>
              <w:jc w:val="center"/>
              <w:rPr>
                <w:rFonts w:ascii="Times New Roman" w:eastAsia="Times New Roman" w:hAnsi="Times New Roman" w:cs="Times New Roman"/>
                <w:b/>
                <w:bCs/>
                <w:color w:val="1F4E79" w:themeColor="accent1" w:themeShade="80"/>
                <w:sz w:val="18"/>
                <w:szCs w:val="18"/>
                <w:lang w:val="ro-MD"/>
              </w:rPr>
            </w:pPr>
            <w:hyperlink r:id="rId9" w:history="1">
              <w:r w:rsidR="00FA386E" w:rsidRPr="00C71559">
                <w:rPr>
                  <w:rStyle w:val="Hyperlink"/>
                  <w:rFonts w:ascii="Times New Roman" w:hAnsi="Times New Roman" w:cs="Times New Roman"/>
                  <w:b/>
                  <w:sz w:val="18"/>
                  <w:szCs w:val="18"/>
                  <w:u w:val="none"/>
                  <w:lang w:val="ro-MD"/>
                </w:rPr>
                <w:t>www.ccrm.md</w:t>
              </w:r>
            </w:hyperlink>
            <w:r w:rsidR="00FA386E" w:rsidRPr="00C71559">
              <w:rPr>
                <w:rStyle w:val="Hyperlink"/>
                <w:rFonts w:ascii="Times New Roman" w:hAnsi="Times New Roman" w:cs="Times New Roman"/>
                <w:b/>
                <w:sz w:val="18"/>
                <w:szCs w:val="18"/>
                <w:u w:val="none"/>
                <w:lang w:val="ro-MD"/>
              </w:rPr>
              <w:t xml:space="preserve">; </w:t>
            </w:r>
            <w:r w:rsidR="00FA386E" w:rsidRPr="00C71559">
              <w:rPr>
                <w:rFonts w:ascii="Times New Roman" w:hAnsi="Times New Roman" w:cs="Times New Roman"/>
                <w:sz w:val="18"/>
                <w:szCs w:val="18"/>
                <w:lang w:val="ro-MD"/>
              </w:rPr>
              <w:t xml:space="preserve">e-mail: </w:t>
            </w:r>
            <w:hyperlink r:id="rId10" w:history="1">
              <w:r w:rsidR="00FA386E" w:rsidRPr="00C71559">
                <w:rPr>
                  <w:rStyle w:val="Hyperlink"/>
                  <w:rFonts w:ascii="Times New Roman" w:hAnsi="Times New Roman" w:cs="Times New Roman"/>
                  <w:b/>
                  <w:sz w:val="18"/>
                  <w:szCs w:val="18"/>
                  <w:u w:val="none"/>
                  <w:lang w:val="ro-MD"/>
                </w:rPr>
                <w:t>ccrm@ccrm.md</w:t>
              </w:r>
            </w:hyperlink>
          </w:p>
        </w:tc>
      </w:tr>
    </w:tbl>
    <w:p w14:paraId="6D0ECF7E" w14:textId="77777777" w:rsidR="00FA386E" w:rsidRPr="00483DC7" w:rsidRDefault="00FA386E" w:rsidP="00FA386E">
      <w:pPr>
        <w:tabs>
          <w:tab w:val="left" w:pos="720"/>
        </w:tabs>
        <w:spacing w:after="0" w:line="276" w:lineRule="auto"/>
        <w:jc w:val="right"/>
        <w:rPr>
          <w:rFonts w:ascii="Times New Roman" w:eastAsia="Times New Roman" w:hAnsi="Times New Roman" w:cs="Times New Roman"/>
          <w:b/>
          <w:bCs/>
          <w:color w:val="1F4E79" w:themeColor="accent1" w:themeShade="80"/>
          <w:sz w:val="24"/>
          <w:szCs w:val="24"/>
          <w:lang w:val="ro-MD"/>
        </w:rPr>
      </w:pPr>
    </w:p>
    <w:p w14:paraId="6C3AF5E1" w14:textId="77777777" w:rsidR="00FA386E" w:rsidRPr="00483DC7" w:rsidRDefault="00FA386E" w:rsidP="00FA386E">
      <w:pPr>
        <w:tabs>
          <w:tab w:val="left" w:pos="720"/>
        </w:tabs>
        <w:spacing w:after="0" w:line="276" w:lineRule="auto"/>
        <w:rPr>
          <w:rFonts w:ascii="Times New Roman" w:eastAsia="Times New Roman" w:hAnsi="Times New Roman" w:cs="Times New Roman"/>
          <w:b/>
          <w:bCs/>
          <w:sz w:val="32"/>
          <w:szCs w:val="32"/>
          <w:lang w:val="ro-MD"/>
        </w:rPr>
      </w:pPr>
    </w:p>
    <w:p w14:paraId="2CF7A22A" w14:textId="77777777" w:rsidR="00FA386E" w:rsidRPr="00483DC7" w:rsidRDefault="00FA386E" w:rsidP="00FA386E">
      <w:pPr>
        <w:spacing w:after="0" w:line="276" w:lineRule="auto"/>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t>RAPORTUL</w:t>
      </w:r>
    </w:p>
    <w:p w14:paraId="3314EE9D" w14:textId="77777777" w:rsidR="00FA386E" w:rsidRPr="00483DC7" w:rsidRDefault="00FA386E" w:rsidP="00FA386E">
      <w:pPr>
        <w:spacing w:after="0" w:line="276" w:lineRule="auto"/>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t xml:space="preserve">de audit </w:t>
      </w:r>
    </w:p>
    <w:p w14:paraId="4512D035" w14:textId="77777777" w:rsidR="00FA386E" w:rsidRPr="00483DC7" w:rsidRDefault="00FA386E" w:rsidP="00FA386E">
      <w:pPr>
        <w:spacing w:after="0" w:line="276" w:lineRule="auto"/>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t xml:space="preserve">al performanței asupra activității unităților de coordonare, implementare și monitorizare a proiectelor finanțate prin asistență externă </w:t>
      </w:r>
    </w:p>
    <w:p w14:paraId="7DCA4C8E" w14:textId="77777777" w:rsidR="00C023BD" w:rsidRPr="00483DC7" w:rsidRDefault="00FA386E" w:rsidP="00FA386E">
      <w:pPr>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t>și utilizării resurselor financiare alocate</w:t>
      </w:r>
    </w:p>
    <w:p w14:paraId="54E7D27B" w14:textId="77777777" w:rsidR="00FA386E" w:rsidRPr="00483DC7" w:rsidRDefault="00FA386E" w:rsidP="00FA386E">
      <w:pPr>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br w:type="page"/>
      </w:r>
    </w:p>
    <w:p w14:paraId="5C828BED" w14:textId="77777777" w:rsidR="00FA386E" w:rsidRPr="00483DC7" w:rsidRDefault="00FA386E" w:rsidP="00FA386E">
      <w:pPr>
        <w:jc w:val="center"/>
        <w:rPr>
          <w:rFonts w:ascii="Times New Roman" w:eastAsia="Times New Roman" w:hAnsi="Times New Roman" w:cs="Times New Roman"/>
          <w:b/>
          <w:bCs/>
          <w:sz w:val="28"/>
          <w:szCs w:val="28"/>
          <w:lang w:val="ro-MD"/>
        </w:rPr>
      </w:pPr>
      <w:r w:rsidRPr="00483DC7">
        <w:rPr>
          <w:rFonts w:ascii="Times New Roman" w:eastAsia="Times New Roman" w:hAnsi="Times New Roman" w:cs="Times New Roman"/>
          <w:b/>
          <w:bCs/>
          <w:sz w:val="28"/>
          <w:szCs w:val="28"/>
          <w:lang w:val="ro-MD"/>
        </w:rPr>
        <w:lastRenderedPageBreak/>
        <w:t>CUPRINS</w:t>
      </w:r>
    </w:p>
    <w:sdt>
      <w:sdtPr>
        <w:rPr>
          <w:rFonts w:ascii="Times New Roman" w:eastAsiaTheme="majorEastAsia" w:hAnsi="Times New Roman" w:cs="Times New Roman"/>
          <w:color w:val="2E74B5" w:themeColor="accent1" w:themeShade="BF"/>
          <w:sz w:val="32"/>
          <w:szCs w:val="32"/>
          <w:lang w:val="ro-MD"/>
        </w:rPr>
        <w:id w:val="-1655839260"/>
        <w:docPartObj>
          <w:docPartGallery w:val="Table of Contents"/>
          <w:docPartUnique/>
        </w:docPartObj>
      </w:sdtPr>
      <w:sdtEndPr>
        <w:rPr>
          <w:b/>
          <w:bCs/>
          <w:noProof/>
        </w:rPr>
      </w:sdtEndPr>
      <w:sdtContent>
        <w:p w14:paraId="5BE2639E" w14:textId="0EECC92B" w:rsidR="00205277" w:rsidRDefault="00FA386E">
          <w:pPr>
            <w:pStyle w:val="TOC1"/>
            <w:tabs>
              <w:tab w:val="right" w:leader="dot" w:pos="9347"/>
            </w:tabs>
            <w:rPr>
              <w:rFonts w:eastAsiaTheme="minorEastAsia"/>
              <w:noProof/>
            </w:rPr>
          </w:pPr>
          <w:r w:rsidRPr="00483DC7">
            <w:rPr>
              <w:rFonts w:ascii="Times New Roman" w:hAnsi="Times New Roman" w:cs="Times New Roman"/>
              <w:lang w:val="ro-MD"/>
            </w:rPr>
            <w:fldChar w:fldCharType="begin"/>
          </w:r>
          <w:r w:rsidRPr="00483DC7">
            <w:rPr>
              <w:rFonts w:ascii="Times New Roman" w:hAnsi="Times New Roman" w:cs="Times New Roman"/>
              <w:lang w:val="ro-MD"/>
            </w:rPr>
            <w:instrText xml:space="preserve"> TOC \o "1-3" \h \z \u </w:instrText>
          </w:r>
          <w:r w:rsidRPr="00483DC7">
            <w:rPr>
              <w:rFonts w:ascii="Times New Roman" w:hAnsi="Times New Roman" w:cs="Times New Roman"/>
              <w:lang w:val="ro-MD"/>
            </w:rPr>
            <w:fldChar w:fldCharType="separate"/>
          </w:r>
          <w:hyperlink w:anchor="_Toc185943207" w:history="1">
            <w:r w:rsidR="00205277" w:rsidRPr="000D3DA7">
              <w:rPr>
                <w:rStyle w:val="Hyperlink"/>
                <w:rFonts w:ascii="Times New Roman" w:hAnsi="Times New Roman" w:cs="Times New Roman"/>
                <w:b/>
                <w:noProof/>
                <w:lang w:val="ro-MD"/>
              </w:rPr>
              <w:t>LISTA ACRONIMELOR</w:t>
            </w:r>
            <w:r w:rsidR="00205277">
              <w:rPr>
                <w:noProof/>
                <w:webHidden/>
              </w:rPr>
              <w:tab/>
            </w:r>
            <w:r w:rsidR="00205277">
              <w:rPr>
                <w:noProof/>
                <w:webHidden/>
              </w:rPr>
              <w:fldChar w:fldCharType="begin"/>
            </w:r>
            <w:r w:rsidR="00205277">
              <w:rPr>
                <w:noProof/>
                <w:webHidden/>
              </w:rPr>
              <w:instrText xml:space="preserve"> PAGEREF _Toc185943207 \h </w:instrText>
            </w:r>
            <w:r w:rsidR="00205277">
              <w:rPr>
                <w:noProof/>
                <w:webHidden/>
              </w:rPr>
            </w:r>
            <w:r w:rsidR="00205277">
              <w:rPr>
                <w:noProof/>
                <w:webHidden/>
              </w:rPr>
              <w:fldChar w:fldCharType="separate"/>
            </w:r>
            <w:r w:rsidR="001154EF">
              <w:rPr>
                <w:noProof/>
                <w:webHidden/>
              </w:rPr>
              <w:t>3</w:t>
            </w:r>
            <w:r w:rsidR="00205277">
              <w:rPr>
                <w:noProof/>
                <w:webHidden/>
              </w:rPr>
              <w:fldChar w:fldCharType="end"/>
            </w:r>
          </w:hyperlink>
        </w:p>
        <w:p w14:paraId="171480F0" w14:textId="13991B73" w:rsidR="00205277" w:rsidRDefault="00A148BF">
          <w:pPr>
            <w:pStyle w:val="TOC1"/>
            <w:tabs>
              <w:tab w:val="right" w:leader="dot" w:pos="9347"/>
            </w:tabs>
            <w:rPr>
              <w:rFonts w:eastAsiaTheme="minorEastAsia"/>
              <w:noProof/>
            </w:rPr>
          </w:pPr>
          <w:hyperlink w:anchor="_Toc185943208" w:history="1">
            <w:r w:rsidR="00205277" w:rsidRPr="000D3DA7">
              <w:rPr>
                <w:rStyle w:val="Hyperlink"/>
                <w:rFonts w:ascii="Times New Roman" w:hAnsi="Times New Roman" w:cs="Times New Roman"/>
                <w:b/>
                <w:noProof/>
                <w:lang w:val="ro-MD"/>
              </w:rPr>
              <w:t>GLOSAR</w:t>
            </w:r>
            <w:r w:rsidR="00205277">
              <w:rPr>
                <w:noProof/>
                <w:webHidden/>
              </w:rPr>
              <w:tab/>
            </w:r>
            <w:r w:rsidR="00205277">
              <w:rPr>
                <w:noProof/>
                <w:webHidden/>
              </w:rPr>
              <w:fldChar w:fldCharType="begin"/>
            </w:r>
            <w:r w:rsidR="00205277">
              <w:rPr>
                <w:noProof/>
                <w:webHidden/>
              </w:rPr>
              <w:instrText xml:space="preserve"> PAGEREF _Toc185943208 \h </w:instrText>
            </w:r>
            <w:r w:rsidR="00205277">
              <w:rPr>
                <w:noProof/>
                <w:webHidden/>
              </w:rPr>
            </w:r>
            <w:r w:rsidR="00205277">
              <w:rPr>
                <w:noProof/>
                <w:webHidden/>
              </w:rPr>
              <w:fldChar w:fldCharType="separate"/>
            </w:r>
            <w:r w:rsidR="001154EF">
              <w:rPr>
                <w:noProof/>
                <w:webHidden/>
              </w:rPr>
              <w:t>3</w:t>
            </w:r>
            <w:r w:rsidR="00205277">
              <w:rPr>
                <w:noProof/>
                <w:webHidden/>
              </w:rPr>
              <w:fldChar w:fldCharType="end"/>
            </w:r>
          </w:hyperlink>
        </w:p>
        <w:p w14:paraId="08A3372E" w14:textId="783C4DC8" w:rsidR="00205277" w:rsidRDefault="00A148BF">
          <w:pPr>
            <w:pStyle w:val="TOC1"/>
            <w:tabs>
              <w:tab w:val="right" w:leader="dot" w:pos="9347"/>
            </w:tabs>
            <w:rPr>
              <w:rFonts w:eastAsiaTheme="minorEastAsia"/>
              <w:noProof/>
            </w:rPr>
          </w:pPr>
          <w:hyperlink w:anchor="_Toc185943209" w:history="1">
            <w:r w:rsidR="00205277" w:rsidRPr="000D3DA7">
              <w:rPr>
                <w:rStyle w:val="Hyperlink"/>
                <w:rFonts w:ascii="Times New Roman" w:hAnsi="Times New Roman" w:cs="Times New Roman"/>
                <w:b/>
                <w:noProof/>
                <w:lang w:val="ro-MD"/>
              </w:rPr>
              <w:t>I. SINTEZA</w:t>
            </w:r>
            <w:r w:rsidR="00205277">
              <w:rPr>
                <w:noProof/>
                <w:webHidden/>
              </w:rPr>
              <w:tab/>
            </w:r>
            <w:r w:rsidR="00205277">
              <w:rPr>
                <w:noProof/>
                <w:webHidden/>
              </w:rPr>
              <w:fldChar w:fldCharType="begin"/>
            </w:r>
            <w:r w:rsidR="00205277">
              <w:rPr>
                <w:noProof/>
                <w:webHidden/>
              </w:rPr>
              <w:instrText xml:space="preserve"> PAGEREF _Toc185943209 \h </w:instrText>
            </w:r>
            <w:r w:rsidR="00205277">
              <w:rPr>
                <w:noProof/>
                <w:webHidden/>
              </w:rPr>
            </w:r>
            <w:r w:rsidR="00205277">
              <w:rPr>
                <w:noProof/>
                <w:webHidden/>
              </w:rPr>
              <w:fldChar w:fldCharType="separate"/>
            </w:r>
            <w:r w:rsidR="001154EF">
              <w:rPr>
                <w:noProof/>
                <w:webHidden/>
              </w:rPr>
              <w:t>4</w:t>
            </w:r>
            <w:r w:rsidR="00205277">
              <w:rPr>
                <w:noProof/>
                <w:webHidden/>
              </w:rPr>
              <w:fldChar w:fldCharType="end"/>
            </w:r>
          </w:hyperlink>
        </w:p>
        <w:p w14:paraId="788897D4" w14:textId="3866E6B5" w:rsidR="00205277" w:rsidRDefault="00A148BF">
          <w:pPr>
            <w:pStyle w:val="TOC1"/>
            <w:tabs>
              <w:tab w:val="right" w:leader="dot" w:pos="9347"/>
            </w:tabs>
            <w:rPr>
              <w:rFonts w:eastAsiaTheme="minorEastAsia"/>
              <w:noProof/>
            </w:rPr>
          </w:pPr>
          <w:hyperlink w:anchor="_Toc185943210" w:history="1">
            <w:r w:rsidR="00205277" w:rsidRPr="000D3DA7">
              <w:rPr>
                <w:rStyle w:val="Hyperlink"/>
                <w:rFonts w:ascii="Times New Roman" w:hAnsi="Times New Roman" w:cs="Times New Roman"/>
                <w:b/>
                <w:noProof/>
                <w:lang w:val="ro-MD"/>
              </w:rPr>
              <w:t>II. PREZENTAREA GENERALĂ</w:t>
            </w:r>
            <w:r w:rsidR="00205277">
              <w:rPr>
                <w:noProof/>
                <w:webHidden/>
              </w:rPr>
              <w:tab/>
            </w:r>
            <w:r w:rsidR="00205277">
              <w:rPr>
                <w:noProof/>
                <w:webHidden/>
              </w:rPr>
              <w:fldChar w:fldCharType="begin"/>
            </w:r>
            <w:r w:rsidR="00205277">
              <w:rPr>
                <w:noProof/>
                <w:webHidden/>
              </w:rPr>
              <w:instrText xml:space="preserve"> PAGEREF _Toc185943210 \h </w:instrText>
            </w:r>
            <w:r w:rsidR="00205277">
              <w:rPr>
                <w:noProof/>
                <w:webHidden/>
              </w:rPr>
            </w:r>
            <w:r w:rsidR="00205277">
              <w:rPr>
                <w:noProof/>
                <w:webHidden/>
              </w:rPr>
              <w:fldChar w:fldCharType="separate"/>
            </w:r>
            <w:r w:rsidR="001154EF">
              <w:rPr>
                <w:noProof/>
                <w:webHidden/>
              </w:rPr>
              <w:t>5</w:t>
            </w:r>
            <w:r w:rsidR="00205277">
              <w:rPr>
                <w:noProof/>
                <w:webHidden/>
              </w:rPr>
              <w:fldChar w:fldCharType="end"/>
            </w:r>
          </w:hyperlink>
        </w:p>
        <w:p w14:paraId="2B35A218" w14:textId="3F4965A5" w:rsidR="00205277" w:rsidRDefault="00A148BF">
          <w:pPr>
            <w:pStyle w:val="TOC2"/>
            <w:tabs>
              <w:tab w:val="right" w:leader="dot" w:pos="9347"/>
            </w:tabs>
            <w:rPr>
              <w:rFonts w:eastAsiaTheme="minorEastAsia"/>
              <w:noProof/>
            </w:rPr>
          </w:pPr>
          <w:hyperlink w:anchor="_Toc185943211" w:history="1">
            <w:r w:rsidR="00205277" w:rsidRPr="000D3DA7">
              <w:rPr>
                <w:rStyle w:val="Hyperlink"/>
                <w:rFonts w:ascii="Times New Roman" w:hAnsi="Times New Roman" w:cs="Times New Roman"/>
                <w:b/>
                <w:noProof/>
                <w:lang w:val="ro-MD"/>
              </w:rPr>
              <w:t>2.1. Tema și motivele auditului</w:t>
            </w:r>
            <w:r w:rsidR="00205277">
              <w:rPr>
                <w:noProof/>
                <w:webHidden/>
              </w:rPr>
              <w:tab/>
            </w:r>
            <w:r w:rsidR="00205277">
              <w:rPr>
                <w:noProof/>
                <w:webHidden/>
              </w:rPr>
              <w:fldChar w:fldCharType="begin"/>
            </w:r>
            <w:r w:rsidR="00205277">
              <w:rPr>
                <w:noProof/>
                <w:webHidden/>
              </w:rPr>
              <w:instrText xml:space="preserve"> PAGEREF _Toc185943211 \h </w:instrText>
            </w:r>
            <w:r w:rsidR="00205277">
              <w:rPr>
                <w:noProof/>
                <w:webHidden/>
              </w:rPr>
            </w:r>
            <w:r w:rsidR="00205277">
              <w:rPr>
                <w:noProof/>
                <w:webHidden/>
              </w:rPr>
              <w:fldChar w:fldCharType="separate"/>
            </w:r>
            <w:r w:rsidR="001154EF">
              <w:rPr>
                <w:noProof/>
                <w:webHidden/>
              </w:rPr>
              <w:t>5</w:t>
            </w:r>
            <w:r w:rsidR="00205277">
              <w:rPr>
                <w:noProof/>
                <w:webHidden/>
              </w:rPr>
              <w:fldChar w:fldCharType="end"/>
            </w:r>
          </w:hyperlink>
        </w:p>
        <w:p w14:paraId="439832C8" w14:textId="46F9DCA6" w:rsidR="00205277" w:rsidRDefault="00A148BF">
          <w:pPr>
            <w:pStyle w:val="TOC2"/>
            <w:tabs>
              <w:tab w:val="right" w:leader="dot" w:pos="9347"/>
            </w:tabs>
            <w:rPr>
              <w:rFonts w:eastAsiaTheme="minorEastAsia"/>
              <w:noProof/>
            </w:rPr>
          </w:pPr>
          <w:hyperlink w:anchor="_Toc185943212" w:history="1">
            <w:r w:rsidR="00205277" w:rsidRPr="000D3DA7">
              <w:rPr>
                <w:rStyle w:val="Hyperlink"/>
                <w:rFonts w:ascii="Times New Roman" w:hAnsi="Times New Roman" w:cs="Times New Roman"/>
                <w:b/>
                <w:noProof/>
                <w:lang w:val="ro-MD" w:eastAsia="ru-RU"/>
              </w:rPr>
              <w:t>2.2. Descrierea domeniului auditat</w:t>
            </w:r>
            <w:r w:rsidR="00205277">
              <w:rPr>
                <w:noProof/>
                <w:webHidden/>
              </w:rPr>
              <w:tab/>
            </w:r>
            <w:r w:rsidR="00205277">
              <w:rPr>
                <w:noProof/>
                <w:webHidden/>
              </w:rPr>
              <w:fldChar w:fldCharType="begin"/>
            </w:r>
            <w:r w:rsidR="00205277">
              <w:rPr>
                <w:noProof/>
                <w:webHidden/>
              </w:rPr>
              <w:instrText xml:space="preserve"> PAGEREF _Toc185943212 \h </w:instrText>
            </w:r>
            <w:r w:rsidR="00205277">
              <w:rPr>
                <w:noProof/>
                <w:webHidden/>
              </w:rPr>
            </w:r>
            <w:r w:rsidR="00205277">
              <w:rPr>
                <w:noProof/>
                <w:webHidden/>
              </w:rPr>
              <w:fldChar w:fldCharType="separate"/>
            </w:r>
            <w:r w:rsidR="001154EF">
              <w:rPr>
                <w:noProof/>
                <w:webHidden/>
              </w:rPr>
              <w:t>6</w:t>
            </w:r>
            <w:r w:rsidR="00205277">
              <w:rPr>
                <w:noProof/>
                <w:webHidden/>
              </w:rPr>
              <w:fldChar w:fldCharType="end"/>
            </w:r>
          </w:hyperlink>
        </w:p>
        <w:p w14:paraId="40E1081C" w14:textId="64A6C603" w:rsidR="00205277" w:rsidRDefault="00A148BF">
          <w:pPr>
            <w:pStyle w:val="TOC1"/>
            <w:tabs>
              <w:tab w:val="right" w:leader="dot" w:pos="9347"/>
            </w:tabs>
            <w:rPr>
              <w:rFonts w:eastAsiaTheme="minorEastAsia"/>
              <w:noProof/>
            </w:rPr>
          </w:pPr>
          <w:hyperlink w:anchor="_Toc185943213" w:history="1">
            <w:r w:rsidR="00205277" w:rsidRPr="000D3DA7">
              <w:rPr>
                <w:rStyle w:val="Hyperlink"/>
                <w:rFonts w:ascii="Times New Roman" w:hAnsi="Times New Roman" w:cs="Times New Roman"/>
                <w:b/>
                <w:noProof/>
                <w:lang w:val="ro-MD" w:eastAsia="ru-RU"/>
              </w:rPr>
              <w:t>III. SFERA ȘI ABORDAREA AUDITULUI</w:t>
            </w:r>
            <w:r w:rsidR="00205277">
              <w:rPr>
                <w:noProof/>
                <w:webHidden/>
              </w:rPr>
              <w:tab/>
            </w:r>
            <w:r w:rsidR="00205277">
              <w:rPr>
                <w:noProof/>
                <w:webHidden/>
              </w:rPr>
              <w:fldChar w:fldCharType="begin"/>
            </w:r>
            <w:r w:rsidR="00205277">
              <w:rPr>
                <w:noProof/>
                <w:webHidden/>
              </w:rPr>
              <w:instrText xml:space="preserve"> PAGEREF _Toc185943213 \h </w:instrText>
            </w:r>
            <w:r w:rsidR="00205277">
              <w:rPr>
                <w:noProof/>
                <w:webHidden/>
              </w:rPr>
            </w:r>
            <w:r w:rsidR="00205277">
              <w:rPr>
                <w:noProof/>
                <w:webHidden/>
              </w:rPr>
              <w:fldChar w:fldCharType="separate"/>
            </w:r>
            <w:r w:rsidR="001154EF">
              <w:rPr>
                <w:noProof/>
                <w:webHidden/>
              </w:rPr>
              <w:t>9</w:t>
            </w:r>
            <w:r w:rsidR="00205277">
              <w:rPr>
                <w:noProof/>
                <w:webHidden/>
              </w:rPr>
              <w:fldChar w:fldCharType="end"/>
            </w:r>
          </w:hyperlink>
        </w:p>
        <w:p w14:paraId="1400F1C4" w14:textId="4B5AF7E3" w:rsidR="00205277" w:rsidRDefault="00A148BF">
          <w:pPr>
            <w:pStyle w:val="TOC2"/>
            <w:tabs>
              <w:tab w:val="right" w:leader="dot" w:pos="9347"/>
            </w:tabs>
            <w:rPr>
              <w:rFonts w:eastAsiaTheme="minorEastAsia"/>
              <w:noProof/>
            </w:rPr>
          </w:pPr>
          <w:hyperlink w:anchor="_Toc185943214" w:history="1">
            <w:r w:rsidR="00205277" w:rsidRPr="000D3DA7">
              <w:rPr>
                <w:rStyle w:val="Hyperlink"/>
                <w:rFonts w:ascii="Times New Roman" w:hAnsi="Times New Roman" w:cs="Times New Roman"/>
                <w:b/>
                <w:bCs/>
                <w:noProof/>
                <w:lang w:val="ro-MD"/>
              </w:rPr>
              <w:t>3.1. Temeiul auditului</w:t>
            </w:r>
            <w:r w:rsidR="00205277">
              <w:rPr>
                <w:noProof/>
                <w:webHidden/>
              </w:rPr>
              <w:tab/>
            </w:r>
            <w:r w:rsidR="00205277">
              <w:rPr>
                <w:noProof/>
                <w:webHidden/>
              </w:rPr>
              <w:fldChar w:fldCharType="begin"/>
            </w:r>
            <w:r w:rsidR="00205277">
              <w:rPr>
                <w:noProof/>
                <w:webHidden/>
              </w:rPr>
              <w:instrText xml:space="preserve"> PAGEREF _Toc185943214 \h </w:instrText>
            </w:r>
            <w:r w:rsidR="00205277">
              <w:rPr>
                <w:noProof/>
                <w:webHidden/>
              </w:rPr>
            </w:r>
            <w:r w:rsidR="00205277">
              <w:rPr>
                <w:noProof/>
                <w:webHidden/>
              </w:rPr>
              <w:fldChar w:fldCharType="separate"/>
            </w:r>
            <w:r w:rsidR="001154EF">
              <w:rPr>
                <w:noProof/>
                <w:webHidden/>
              </w:rPr>
              <w:t>9</w:t>
            </w:r>
            <w:r w:rsidR="00205277">
              <w:rPr>
                <w:noProof/>
                <w:webHidden/>
              </w:rPr>
              <w:fldChar w:fldCharType="end"/>
            </w:r>
          </w:hyperlink>
        </w:p>
        <w:p w14:paraId="0347ACA5" w14:textId="0ED0F4DE" w:rsidR="00205277" w:rsidRDefault="00A148BF">
          <w:pPr>
            <w:pStyle w:val="TOC2"/>
            <w:tabs>
              <w:tab w:val="right" w:leader="dot" w:pos="9347"/>
            </w:tabs>
            <w:rPr>
              <w:rFonts w:eastAsiaTheme="minorEastAsia"/>
              <w:noProof/>
            </w:rPr>
          </w:pPr>
          <w:hyperlink w:anchor="_Toc185943215" w:history="1">
            <w:r w:rsidR="00205277" w:rsidRPr="000D3DA7">
              <w:rPr>
                <w:rStyle w:val="Hyperlink"/>
                <w:rFonts w:ascii="Times New Roman" w:hAnsi="Times New Roman" w:cs="Times New Roman"/>
                <w:b/>
                <w:bCs/>
                <w:noProof/>
                <w:lang w:val="ro-MD"/>
              </w:rPr>
              <w:t>3.2. Sfera de audit</w:t>
            </w:r>
            <w:r w:rsidR="00205277">
              <w:rPr>
                <w:noProof/>
                <w:webHidden/>
              </w:rPr>
              <w:tab/>
            </w:r>
            <w:r w:rsidR="00205277">
              <w:rPr>
                <w:noProof/>
                <w:webHidden/>
              </w:rPr>
              <w:fldChar w:fldCharType="begin"/>
            </w:r>
            <w:r w:rsidR="00205277">
              <w:rPr>
                <w:noProof/>
                <w:webHidden/>
              </w:rPr>
              <w:instrText xml:space="preserve"> PAGEREF _Toc185943215 \h </w:instrText>
            </w:r>
            <w:r w:rsidR="00205277">
              <w:rPr>
                <w:noProof/>
                <w:webHidden/>
              </w:rPr>
            </w:r>
            <w:r w:rsidR="00205277">
              <w:rPr>
                <w:noProof/>
                <w:webHidden/>
              </w:rPr>
              <w:fldChar w:fldCharType="separate"/>
            </w:r>
            <w:r w:rsidR="001154EF">
              <w:rPr>
                <w:noProof/>
                <w:webHidden/>
              </w:rPr>
              <w:t>9</w:t>
            </w:r>
            <w:r w:rsidR="00205277">
              <w:rPr>
                <w:noProof/>
                <w:webHidden/>
              </w:rPr>
              <w:fldChar w:fldCharType="end"/>
            </w:r>
          </w:hyperlink>
        </w:p>
        <w:p w14:paraId="6FB6F182" w14:textId="436B9F65" w:rsidR="00205277" w:rsidRDefault="00A148BF">
          <w:pPr>
            <w:pStyle w:val="TOC2"/>
            <w:tabs>
              <w:tab w:val="right" w:leader="dot" w:pos="9347"/>
            </w:tabs>
            <w:rPr>
              <w:rFonts w:eastAsiaTheme="minorEastAsia"/>
              <w:noProof/>
            </w:rPr>
          </w:pPr>
          <w:hyperlink w:anchor="_Toc185943216" w:history="1">
            <w:r w:rsidR="00205277" w:rsidRPr="000D3DA7">
              <w:rPr>
                <w:rStyle w:val="Hyperlink"/>
                <w:rFonts w:ascii="Times New Roman" w:hAnsi="Times New Roman" w:cs="Times New Roman"/>
                <w:b/>
                <w:bCs/>
                <w:noProof/>
                <w:lang w:val="ro-MD"/>
              </w:rPr>
              <w:t>3.3. Întrebarea generală de audit și întrebările specifice de audit</w:t>
            </w:r>
            <w:r w:rsidR="00205277">
              <w:rPr>
                <w:noProof/>
                <w:webHidden/>
              </w:rPr>
              <w:tab/>
            </w:r>
            <w:r w:rsidR="00205277">
              <w:rPr>
                <w:noProof/>
                <w:webHidden/>
              </w:rPr>
              <w:fldChar w:fldCharType="begin"/>
            </w:r>
            <w:r w:rsidR="00205277">
              <w:rPr>
                <w:noProof/>
                <w:webHidden/>
              </w:rPr>
              <w:instrText xml:space="preserve"> PAGEREF _Toc185943216 \h </w:instrText>
            </w:r>
            <w:r w:rsidR="00205277">
              <w:rPr>
                <w:noProof/>
                <w:webHidden/>
              </w:rPr>
            </w:r>
            <w:r w:rsidR="00205277">
              <w:rPr>
                <w:noProof/>
                <w:webHidden/>
              </w:rPr>
              <w:fldChar w:fldCharType="separate"/>
            </w:r>
            <w:r w:rsidR="001154EF">
              <w:rPr>
                <w:noProof/>
                <w:webHidden/>
              </w:rPr>
              <w:t>9</w:t>
            </w:r>
            <w:r w:rsidR="00205277">
              <w:rPr>
                <w:noProof/>
                <w:webHidden/>
              </w:rPr>
              <w:fldChar w:fldCharType="end"/>
            </w:r>
          </w:hyperlink>
        </w:p>
        <w:p w14:paraId="585BF194" w14:textId="21A4D563" w:rsidR="00205277" w:rsidRDefault="00A148BF">
          <w:pPr>
            <w:pStyle w:val="TOC2"/>
            <w:tabs>
              <w:tab w:val="right" w:leader="dot" w:pos="9347"/>
            </w:tabs>
            <w:rPr>
              <w:rFonts w:eastAsiaTheme="minorEastAsia"/>
              <w:noProof/>
            </w:rPr>
          </w:pPr>
          <w:hyperlink w:anchor="_Toc185943217" w:history="1">
            <w:r w:rsidR="00205277" w:rsidRPr="000D3DA7">
              <w:rPr>
                <w:rStyle w:val="Hyperlink"/>
                <w:rFonts w:ascii="Times New Roman" w:hAnsi="Times New Roman" w:cs="Times New Roman"/>
                <w:b/>
                <w:bCs/>
                <w:noProof/>
                <w:lang w:val="ro-MD"/>
              </w:rPr>
              <w:t>3.4. Abordarea de audit</w:t>
            </w:r>
            <w:r w:rsidR="00205277">
              <w:rPr>
                <w:noProof/>
                <w:webHidden/>
              </w:rPr>
              <w:tab/>
            </w:r>
            <w:r w:rsidR="00205277">
              <w:rPr>
                <w:noProof/>
                <w:webHidden/>
              </w:rPr>
              <w:fldChar w:fldCharType="begin"/>
            </w:r>
            <w:r w:rsidR="00205277">
              <w:rPr>
                <w:noProof/>
                <w:webHidden/>
              </w:rPr>
              <w:instrText xml:space="preserve"> PAGEREF _Toc185943217 \h </w:instrText>
            </w:r>
            <w:r w:rsidR="00205277">
              <w:rPr>
                <w:noProof/>
                <w:webHidden/>
              </w:rPr>
            </w:r>
            <w:r w:rsidR="00205277">
              <w:rPr>
                <w:noProof/>
                <w:webHidden/>
              </w:rPr>
              <w:fldChar w:fldCharType="separate"/>
            </w:r>
            <w:r w:rsidR="001154EF">
              <w:rPr>
                <w:noProof/>
                <w:webHidden/>
              </w:rPr>
              <w:t>9</w:t>
            </w:r>
            <w:r w:rsidR="00205277">
              <w:rPr>
                <w:noProof/>
                <w:webHidden/>
              </w:rPr>
              <w:fldChar w:fldCharType="end"/>
            </w:r>
          </w:hyperlink>
        </w:p>
        <w:p w14:paraId="5A4F9427" w14:textId="150BF597" w:rsidR="00205277" w:rsidRDefault="00A148BF">
          <w:pPr>
            <w:pStyle w:val="TOC1"/>
            <w:tabs>
              <w:tab w:val="right" w:leader="dot" w:pos="9347"/>
            </w:tabs>
            <w:rPr>
              <w:rFonts w:eastAsiaTheme="minorEastAsia"/>
              <w:noProof/>
            </w:rPr>
          </w:pPr>
          <w:hyperlink w:anchor="_Toc185943218" w:history="1">
            <w:r w:rsidR="00205277" w:rsidRPr="000D3DA7">
              <w:rPr>
                <w:rStyle w:val="Hyperlink"/>
                <w:rFonts w:ascii="Times New Roman" w:hAnsi="Times New Roman" w:cs="Times New Roman"/>
                <w:b/>
                <w:noProof/>
                <w:lang w:val="ro-MD" w:eastAsia="ru-RU"/>
              </w:rPr>
              <w:t>IV. CONSTATĂRI</w:t>
            </w:r>
            <w:r w:rsidR="00205277">
              <w:rPr>
                <w:noProof/>
                <w:webHidden/>
              </w:rPr>
              <w:tab/>
            </w:r>
            <w:r w:rsidR="00205277">
              <w:rPr>
                <w:noProof/>
                <w:webHidden/>
              </w:rPr>
              <w:fldChar w:fldCharType="begin"/>
            </w:r>
            <w:r w:rsidR="00205277">
              <w:rPr>
                <w:noProof/>
                <w:webHidden/>
              </w:rPr>
              <w:instrText xml:space="preserve"> PAGEREF _Toc185943218 \h </w:instrText>
            </w:r>
            <w:r w:rsidR="00205277">
              <w:rPr>
                <w:noProof/>
                <w:webHidden/>
              </w:rPr>
            </w:r>
            <w:r w:rsidR="00205277">
              <w:rPr>
                <w:noProof/>
                <w:webHidden/>
              </w:rPr>
              <w:fldChar w:fldCharType="separate"/>
            </w:r>
            <w:r w:rsidR="001154EF">
              <w:rPr>
                <w:noProof/>
                <w:webHidden/>
              </w:rPr>
              <w:t>10</w:t>
            </w:r>
            <w:r w:rsidR="00205277">
              <w:rPr>
                <w:noProof/>
                <w:webHidden/>
              </w:rPr>
              <w:fldChar w:fldCharType="end"/>
            </w:r>
          </w:hyperlink>
        </w:p>
        <w:p w14:paraId="39F390C2" w14:textId="5D886E92" w:rsidR="00205277" w:rsidRDefault="00A148BF">
          <w:pPr>
            <w:pStyle w:val="TOC2"/>
            <w:tabs>
              <w:tab w:val="right" w:leader="dot" w:pos="9347"/>
            </w:tabs>
            <w:rPr>
              <w:rFonts w:eastAsiaTheme="minorEastAsia"/>
              <w:noProof/>
            </w:rPr>
          </w:pPr>
          <w:hyperlink w:anchor="_Toc185943219" w:history="1">
            <w:r w:rsidR="00205277" w:rsidRPr="000D3DA7">
              <w:rPr>
                <w:rStyle w:val="Hyperlink"/>
                <w:rFonts w:ascii="Times New Roman" w:hAnsi="Times New Roman" w:cs="Times New Roman"/>
                <w:b/>
                <w:noProof/>
                <w:lang w:val="ro-MD" w:eastAsia="ru-RU"/>
              </w:rPr>
              <w:t>4.1. Documentele de politici (strategiile și politicile publice naționale), precum și cadrul de reglementare conțin obiective clar delimitate pentru fiecare parte implicată în proces?</w:t>
            </w:r>
            <w:r w:rsidR="00205277">
              <w:rPr>
                <w:noProof/>
                <w:webHidden/>
              </w:rPr>
              <w:tab/>
            </w:r>
            <w:r w:rsidR="00205277">
              <w:rPr>
                <w:noProof/>
                <w:webHidden/>
              </w:rPr>
              <w:fldChar w:fldCharType="begin"/>
            </w:r>
            <w:r w:rsidR="00205277">
              <w:rPr>
                <w:noProof/>
                <w:webHidden/>
              </w:rPr>
              <w:instrText xml:space="preserve"> PAGEREF _Toc185943219 \h </w:instrText>
            </w:r>
            <w:r w:rsidR="00205277">
              <w:rPr>
                <w:noProof/>
                <w:webHidden/>
              </w:rPr>
            </w:r>
            <w:r w:rsidR="00205277">
              <w:rPr>
                <w:noProof/>
                <w:webHidden/>
              </w:rPr>
              <w:fldChar w:fldCharType="separate"/>
            </w:r>
            <w:r w:rsidR="001154EF">
              <w:rPr>
                <w:noProof/>
                <w:webHidden/>
              </w:rPr>
              <w:t>10</w:t>
            </w:r>
            <w:r w:rsidR="00205277">
              <w:rPr>
                <w:noProof/>
                <w:webHidden/>
              </w:rPr>
              <w:fldChar w:fldCharType="end"/>
            </w:r>
          </w:hyperlink>
        </w:p>
        <w:p w14:paraId="50052E3A" w14:textId="5D2931F7" w:rsidR="00205277" w:rsidRDefault="00A148BF">
          <w:pPr>
            <w:pStyle w:val="TOC2"/>
            <w:tabs>
              <w:tab w:val="right" w:leader="dot" w:pos="9347"/>
            </w:tabs>
            <w:rPr>
              <w:rFonts w:eastAsiaTheme="minorEastAsia"/>
              <w:noProof/>
            </w:rPr>
          </w:pPr>
          <w:hyperlink w:anchor="_Toc185943220" w:history="1">
            <w:r w:rsidR="00205277" w:rsidRPr="000D3DA7">
              <w:rPr>
                <w:rStyle w:val="Hyperlink"/>
                <w:rFonts w:ascii="Times New Roman" w:hAnsi="Times New Roman" w:cs="Times New Roman"/>
                <w:b/>
                <w:noProof/>
                <w:lang w:val="ro-MD"/>
              </w:rPr>
              <w:t>4.2. Obiectivele setate, la etapa de programare, pentru Unitățile de implementare a proiectelor finanțate din surse externe au fost realizate?</w:t>
            </w:r>
            <w:r w:rsidR="00205277">
              <w:rPr>
                <w:noProof/>
                <w:webHidden/>
              </w:rPr>
              <w:tab/>
            </w:r>
            <w:r w:rsidR="00205277">
              <w:rPr>
                <w:noProof/>
                <w:webHidden/>
              </w:rPr>
              <w:fldChar w:fldCharType="begin"/>
            </w:r>
            <w:r w:rsidR="00205277">
              <w:rPr>
                <w:noProof/>
                <w:webHidden/>
              </w:rPr>
              <w:instrText xml:space="preserve"> PAGEREF _Toc185943220 \h </w:instrText>
            </w:r>
            <w:r w:rsidR="00205277">
              <w:rPr>
                <w:noProof/>
                <w:webHidden/>
              </w:rPr>
            </w:r>
            <w:r w:rsidR="00205277">
              <w:rPr>
                <w:noProof/>
                <w:webHidden/>
              </w:rPr>
              <w:fldChar w:fldCharType="separate"/>
            </w:r>
            <w:r w:rsidR="001154EF">
              <w:rPr>
                <w:noProof/>
                <w:webHidden/>
              </w:rPr>
              <w:t>22</w:t>
            </w:r>
            <w:r w:rsidR="00205277">
              <w:rPr>
                <w:noProof/>
                <w:webHidden/>
              </w:rPr>
              <w:fldChar w:fldCharType="end"/>
            </w:r>
          </w:hyperlink>
        </w:p>
        <w:p w14:paraId="71CB5968" w14:textId="01DD05D8" w:rsidR="00205277" w:rsidRDefault="00A148BF">
          <w:pPr>
            <w:pStyle w:val="TOC1"/>
            <w:tabs>
              <w:tab w:val="right" w:leader="dot" w:pos="9347"/>
            </w:tabs>
            <w:rPr>
              <w:rFonts w:eastAsiaTheme="minorEastAsia"/>
              <w:noProof/>
            </w:rPr>
          </w:pPr>
          <w:hyperlink w:anchor="_Toc185943221" w:history="1">
            <w:r w:rsidR="00205277" w:rsidRPr="000D3DA7">
              <w:rPr>
                <w:rStyle w:val="Hyperlink"/>
                <w:rFonts w:ascii="Times New Roman" w:hAnsi="Times New Roman" w:cs="Times New Roman"/>
                <w:b/>
                <w:noProof/>
                <w:lang w:val="ro-MD"/>
              </w:rPr>
              <w:t>V. CONCLUZIE GENERALĂ</w:t>
            </w:r>
            <w:r w:rsidR="00205277">
              <w:rPr>
                <w:noProof/>
                <w:webHidden/>
              </w:rPr>
              <w:tab/>
            </w:r>
            <w:r w:rsidR="00205277">
              <w:rPr>
                <w:noProof/>
                <w:webHidden/>
              </w:rPr>
              <w:fldChar w:fldCharType="begin"/>
            </w:r>
            <w:r w:rsidR="00205277">
              <w:rPr>
                <w:noProof/>
                <w:webHidden/>
              </w:rPr>
              <w:instrText xml:space="preserve"> PAGEREF _Toc185943221 \h </w:instrText>
            </w:r>
            <w:r w:rsidR="00205277">
              <w:rPr>
                <w:noProof/>
                <w:webHidden/>
              </w:rPr>
            </w:r>
            <w:r w:rsidR="00205277">
              <w:rPr>
                <w:noProof/>
                <w:webHidden/>
              </w:rPr>
              <w:fldChar w:fldCharType="separate"/>
            </w:r>
            <w:r w:rsidR="001154EF">
              <w:rPr>
                <w:noProof/>
                <w:webHidden/>
              </w:rPr>
              <w:t>38</w:t>
            </w:r>
            <w:r w:rsidR="00205277">
              <w:rPr>
                <w:noProof/>
                <w:webHidden/>
              </w:rPr>
              <w:fldChar w:fldCharType="end"/>
            </w:r>
          </w:hyperlink>
        </w:p>
        <w:p w14:paraId="2131F207" w14:textId="0736A7C7" w:rsidR="00205277" w:rsidRDefault="00A148BF">
          <w:pPr>
            <w:pStyle w:val="TOC1"/>
            <w:tabs>
              <w:tab w:val="right" w:leader="dot" w:pos="9347"/>
            </w:tabs>
            <w:rPr>
              <w:rFonts w:eastAsiaTheme="minorEastAsia"/>
              <w:noProof/>
            </w:rPr>
          </w:pPr>
          <w:hyperlink w:anchor="_Toc185943222" w:history="1">
            <w:r w:rsidR="00205277" w:rsidRPr="000D3DA7">
              <w:rPr>
                <w:rStyle w:val="Hyperlink"/>
                <w:rFonts w:ascii="Times New Roman" w:hAnsi="Times New Roman" w:cs="Times New Roman"/>
                <w:b/>
                <w:noProof/>
                <w:lang w:val="ro-MD"/>
              </w:rPr>
              <w:t>VI. RECOMANDĂRI</w:t>
            </w:r>
            <w:r w:rsidR="00205277">
              <w:rPr>
                <w:noProof/>
                <w:webHidden/>
              </w:rPr>
              <w:tab/>
            </w:r>
            <w:r w:rsidR="00205277">
              <w:rPr>
                <w:noProof/>
                <w:webHidden/>
              </w:rPr>
              <w:fldChar w:fldCharType="begin"/>
            </w:r>
            <w:r w:rsidR="00205277">
              <w:rPr>
                <w:noProof/>
                <w:webHidden/>
              </w:rPr>
              <w:instrText xml:space="preserve"> PAGEREF _Toc185943222 \h </w:instrText>
            </w:r>
            <w:r w:rsidR="00205277">
              <w:rPr>
                <w:noProof/>
                <w:webHidden/>
              </w:rPr>
            </w:r>
            <w:r w:rsidR="00205277">
              <w:rPr>
                <w:noProof/>
                <w:webHidden/>
              </w:rPr>
              <w:fldChar w:fldCharType="separate"/>
            </w:r>
            <w:r w:rsidR="001154EF">
              <w:rPr>
                <w:noProof/>
                <w:webHidden/>
              </w:rPr>
              <w:t>39</w:t>
            </w:r>
            <w:r w:rsidR="00205277">
              <w:rPr>
                <w:noProof/>
                <w:webHidden/>
              </w:rPr>
              <w:fldChar w:fldCharType="end"/>
            </w:r>
          </w:hyperlink>
        </w:p>
        <w:p w14:paraId="141ECB24" w14:textId="63B19CB4" w:rsidR="00205277" w:rsidRDefault="00A148BF">
          <w:pPr>
            <w:pStyle w:val="TOC1"/>
            <w:tabs>
              <w:tab w:val="right" w:leader="dot" w:pos="9347"/>
            </w:tabs>
            <w:rPr>
              <w:rFonts w:eastAsiaTheme="minorEastAsia"/>
              <w:noProof/>
            </w:rPr>
          </w:pPr>
          <w:hyperlink w:anchor="_Toc185943223" w:history="1">
            <w:r w:rsidR="00205277" w:rsidRPr="000D3DA7">
              <w:rPr>
                <w:rStyle w:val="Hyperlink"/>
                <w:rFonts w:ascii="Times New Roman" w:hAnsi="Times New Roman" w:cs="Times New Roman"/>
                <w:b/>
                <w:bCs/>
                <w:noProof/>
                <w:lang w:val="ro-MD"/>
              </w:rPr>
              <w:t>VII. SEMNĂTURILE ECHIPEI  MISIUNII</w:t>
            </w:r>
            <w:r w:rsidR="00205277">
              <w:rPr>
                <w:noProof/>
                <w:webHidden/>
              </w:rPr>
              <w:tab/>
            </w:r>
            <w:r w:rsidR="00205277">
              <w:rPr>
                <w:noProof/>
                <w:webHidden/>
              </w:rPr>
              <w:fldChar w:fldCharType="begin"/>
            </w:r>
            <w:r w:rsidR="00205277">
              <w:rPr>
                <w:noProof/>
                <w:webHidden/>
              </w:rPr>
              <w:instrText xml:space="preserve"> PAGEREF _Toc185943223 \h </w:instrText>
            </w:r>
            <w:r w:rsidR="00205277">
              <w:rPr>
                <w:noProof/>
                <w:webHidden/>
              </w:rPr>
            </w:r>
            <w:r w:rsidR="00205277">
              <w:rPr>
                <w:noProof/>
                <w:webHidden/>
              </w:rPr>
              <w:fldChar w:fldCharType="separate"/>
            </w:r>
            <w:r w:rsidR="001154EF">
              <w:rPr>
                <w:noProof/>
                <w:webHidden/>
              </w:rPr>
              <w:t>39</w:t>
            </w:r>
            <w:r w:rsidR="00205277">
              <w:rPr>
                <w:noProof/>
                <w:webHidden/>
              </w:rPr>
              <w:fldChar w:fldCharType="end"/>
            </w:r>
          </w:hyperlink>
        </w:p>
        <w:p w14:paraId="7C63DA53" w14:textId="313615CA" w:rsidR="00205277" w:rsidRDefault="00A148BF">
          <w:pPr>
            <w:pStyle w:val="TOC1"/>
            <w:tabs>
              <w:tab w:val="right" w:leader="dot" w:pos="9347"/>
            </w:tabs>
            <w:rPr>
              <w:rFonts w:eastAsiaTheme="minorEastAsia"/>
              <w:noProof/>
            </w:rPr>
          </w:pPr>
          <w:hyperlink w:anchor="_Toc185943224" w:history="1">
            <w:r w:rsidR="00205277" w:rsidRPr="000D3DA7">
              <w:rPr>
                <w:rStyle w:val="Hyperlink"/>
                <w:rFonts w:ascii="Times New Roman" w:hAnsi="Times New Roman" w:cs="Times New Roman"/>
                <w:b/>
                <w:noProof/>
                <w:lang w:val="ro-MD"/>
              </w:rPr>
              <w:t>VIII. ANEXE</w:t>
            </w:r>
            <w:r w:rsidR="00205277">
              <w:rPr>
                <w:noProof/>
                <w:webHidden/>
              </w:rPr>
              <w:tab/>
            </w:r>
            <w:r w:rsidR="00205277">
              <w:rPr>
                <w:noProof/>
                <w:webHidden/>
              </w:rPr>
              <w:fldChar w:fldCharType="begin"/>
            </w:r>
            <w:r w:rsidR="00205277">
              <w:rPr>
                <w:noProof/>
                <w:webHidden/>
              </w:rPr>
              <w:instrText xml:space="preserve"> PAGEREF _Toc185943224 \h </w:instrText>
            </w:r>
            <w:r w:rsidR="00205277">
              <w:rPr>
                <w:noProof/>
                <w:webHidden/>
              </w:rPr>
            </w:r>
            <w:r w:rsidR="00205277">
              <w:rPr>
                <w:noProof/>
                <w:webHidden/>
              </w:rPr>
              <w:fldChar w:fldCharType="separate"/>
            </w:r>
            <w:r w:rsidR="001154EF">
              <w:rPr>
                <w:noProof/>
                <w:webHidden/>
              </w:rPr>
              <w:t>40</w:t>
            </w:r>
            <w:r w:rsidR="00205277">
              <w:rPr>
                <w:noProof/>
                <w:webHidden/>
              </w:rPr>
              <w:fldChar w:fldCharType="end"/>
            </w:r>
          </w:hyperlink>
        </w:p>
        <w:p w14:paraId="1DBB8F7A" w14:textId="1B9364EB" w:rsidR="00205277" w:rsidRDefault="00A148BF">
          <w:pPr>
            <w:pStyle w:val="TOC2"/>
            <w:tabs>
              <w:tab w:val="right" w:leader="dot" w:pos="9347"/>
            </w:tabs>
            <w:rPr>
              <w:rFonts w:eastAsiaTheme="minorEastAsia"/>
              <w:noProof/>
            </w:rPr>
          </w:pPr>
          <w:hyperlink w:anchor="_Toc185943225" w:history="1">
            <w:r w:rsidR="00205277" w:rsidRPr="000D3DA7">
              <w:rPr>
                <w:rStyle w:val="Hyperlink"/>
                <w:rFonts w:ascii="Times New Roman" w:hAnsi="Times New Roman" w:cs="Times New Roman"/>
                <w:b/>
                <w:noProof/>
                <w:lang w:val="ro-MD"/>
              </w:rPr>
              <w:t>Anexa nr. 1:</w:t>
            </w:r>
            <w:r w:rsidR="00205277" w:rsidRPr="000D3DA7">
              <w:rPr>
                <w:rStyle w:val="Hyperlink"/>
                <w:rFonts w:ascii="Times New Roman" w:hAnsi="Times New Roman" w:cs="Times New Roman"/>
                <w:noProof/>
                <w:lang w:val="ro-MD"/>
              </w:rPr>
              <w:t xml:space="preserve"> Metodologia și criteriile de audit aplicate în cadrul misiunii</w:t>
            </w:r>
            <w:r w:rsidR="00205277">
              <w:rPr>
                <w:noProof/>
                <w:webHidden/>
              </w:rPr>
              <w:tab/>
            </w:r>
            <w:r w:rsidR="00205277">
              <w:rPr>
                <w:noProof/>
                <w:webHidden/>
              </w:rPr>
              <w:fldChar w:fldCharType="begin"/>
            </w:r>
            <w:r w:rsidR="00205277">
              <w:rPr>
                <w:noProof/>
                <w:webHidden/>
              </w:rPr>
              <w:instrText xml:space="preserve"> PAGEREF _Toc185943225 \h </w:instrText>
            </w:r>
            <w:r w:rsidR="00205277">
              <w:rPr>
                <w:noProof/>
                <w:webHidden/>
              </w:rPr>
            </w:r>
            <w:r w:rsidR="00205277">
              <w:rPr>
                <w:noProof/>
                <w:webHidden/>
              </w:rPr>
              <w:fldChar w:fldCharType="separate"/>
            </w:r>
            <w:r w:rsidR="001154EF">
              <w:rPr>
                <w:noProof/>
                <w:webHidden/>
              </w:rPr>
              <w:t>40</w:t>
            </w:r>
            <w:r w:rsidR="00205277">
              <w:rPr>
                <w:noProof/>
                <w:webHidden/>
              </w:rPr>
              <w:fldChar w:fldCharType="end"/>
            </w:r>
          </w:hyperlink>
        </w:p>
        <w:p w14:paraId="3F7BEF65" w14:textId="2C51EE56" w:rsidR="00205277" w:rsidRDefault="00A148BF">
          <w:pPr>
            <w:pStyle w:val="TOC2"/>
            <w:tabs>
              <w:tab w:val="right" w:leader="dot" w:pos="9347"/>
            </w:tabs>
            <w:rPr>
              <w:rFonts w:eastAsiaTheme="minorEastAsia"/>
              <w:noProof/>
            </w:rPr>
          </w:pPr>
          <w:hyperlink w:anchor="_Toc185943226" w:history="1">
            <w:r w:rsidR="00205277" w:rsidRPr="000D3DA7">
              <w:rPr>
                <w:rStyle w:val="Hyperlink"/>
                <w:rFonts w:ascii="Times New Roman" w:hAnsi="Times New Roman" w:cs="Times New Roman"/>
                <w:b/>
                <w:noProof/>
                <w:lang w:val="ro-MD"/>
              </w:rPr>
              <w:t xml:space="preserve">Anexa nr. 2: </w:t>
            </w:r>
            <w:r w:rsidR="00205277" w:rsidRPr="000D3DA7">
              <w:rPr>
                <w:rStyle w:val="Hyperlink"/>
                <w:rFonts w:ascii="Times New Roman" w:hAnsi="Times New Roman" w:cs="Times New Roman"/>
                <w:noProof/>
                <w:lang w:val="ro-MD"/>
              </w:rPr>
              <w:t>Asistența externă primită pentru proiectele investiționale din sectorul public</w:t>
            </w:r>
            <w:r w:rsidR="00205277">
              <w:rPr>
                <w:noProof/>
                <w:webHidden/>
              </w:rPr>
              <w:tab/>
            </w:r>
            <w:r w:rsidR="00205277">
              <w:rPr>
                <w:noProof/>
                <w:webHidden/>
              </w:rPr>
              <w:fldChar w:fldCharType="begin"/>
            </w:r>
            <w:r w:rsidR="00205277">
              <w:rPr>
                <w:noProof/>
                <w:webHidden/>
              </w:rPr>
              <w:instrText xml:space="preserve"> PAGEREF _Toc185943226 \h </w:instrText>
            </w:r>
            <w:r w:rsidR="00205277">
              <w:rPr>
                <w:noProof/>
                <w:webHidden/>
              </w:rPr>
            </w:r>
            <w:r w:rsidR="00205277">
              <w:rPr>
                <w:noProof/>
                <w:webHidden/>
              </w:rPr>
              <w:fldChar w:fldCharType="separate"/>
            </w:r>
            <w:r w:rsidR="001154EF">
              <w:rPr>
                <w:noProof/>
                <w:webHidden/>
              </w:rPr>
              <w:t>42</w:t>
            </w:r>
            <w:r w:rsidR="00205277">
              <w:rPr>
                <w:noProof/>
                <w:webHidden/>
              </w:rPr>
              <w:fldChar w:fldCharType="end"/>
            </w:r>
          </w:hyperlink>
        </w:p>
        <w:p w14:paraId="109BD8C0" w14:textId="1D5F8DE3" w:rsidR="00205277" w:rsidRDefault="00A148BF">
          <w:pPr>
            <w:pStyle w:val="TOC2"/>
            <w:tabs>
              <w:tab w:val="right" w:leader="dot" w:pos="9347"/>
            </w:tabs>
            <w:rPr>
              <w:rFonts w:eastAsiaTheme="minorEastAsia"/>
              <w:noProof/>
            </w:rPr>
          </w:pPr>
          <w:hyperlink w:anchor="_Toc185943227" w:history="1">
            <w:r w:rsidR="00205277" w:rsidRPr="000D3DA7">
              <w:rPr>
                <w:rStyle w:val="Hyperlink"/>
                <w:rFonts w:ascii="Times New Roman" w:hAnsi="Times New Roman" w:cs="Times New Roman"/>
                <w:b/>
                <w:noProof/>
                <w:lang w:val="ro-MD"/>
              </w:rPr>
              <w:t xml:space="preserve">Anexa nr. 3: </w:t>
            </w:r>
            <w:r w:rsidR="00205277" w:rsidRPr="000D3DA7">
              <w:rPr>
                <w:rStyle w:val="Hyperlink"/>
                <w:rFonts w:ascii="Times New Roman" w:hAnsi="Times New Roman" w:cs="Times New Roman"/>
                <w:noProof/>
                <w:lang w:val="ro-MD"/>
              </w:rPr>
              <w:t>Legătura dintre documentele de politici publice și documentele de planificare</w:t>
            </w:r>
            <w:r w:rsidR="00205277">
              <w:rPr>
                <w:noProof/>
                <w:webHidden/>
              </w:rPr>
              <w:tab/>
            </w:r>
            <w:r w:rsidR="00205277">
              <w:rPr>
                <w:noProof/>
                <w:webHidden/>
              </w:rPr>
              <w:fldChar w:fldCharType="begin"/>
            </w:r>
            <w:r w:rsidR="00205277">
              <w:rPr>
                <w:noProof/>
                <w:webHidden/>
              </w:rPr>
              <w:instrText xml:space="preserve"> PAGEREF _Toc185943227 \h </w:instrText>
            </w:r>
            <w:r w:rsidR="00205277">
              <w:rPr>
                <w:noProof/>
                <w:webHidden/>
              </w:rPr>
            </w:r>
            <w:r w:rsidR="00205277">
              <w:rPr>
                <w:noProof/>
                <w:webHidden/>
              </w:rPr>
              <w:fldChar w:fldCharType="separate"/>
            </w:r>
            <w:r w:rsidR="001154EF">
              <w:rPr>
                <w:noProof/>
                <w:webHidden/>
              </w:rPr>
              <w:t>43</w:t>
            </w:r>
            <w:r w:rsidR="00205277">
              <w:rPr>
                <w:noProof/>
                <w:webHidden/>
              </w:rPr>
              <w:fldChar w:fldCharType="end"/>
            </w:r>
          </w:hyperlink>
        </w:p>
        <w:p w14:paraId="45D6F62C" w14:textId="3A692897" w:rsidR="00205277" w:rsidRDefault="00A148BF">
          <w:pPr>
            <w:pStyle w:val="TOC2"/>
            <w:tabs>
              <w:tab w:val="right" w:leader="dot" w:pos="9347"/>
            </w:tabs>
            <w:rPr>
              <w:rFonts w:eastAsiaTheme="minorEastAsia"/>
              <w:noProof/>
            </w:rPr>
          </w:pPr>
          <w:hyperlink w:anchor="_Toc185943228" w:history="1">
            <w:r w:rsidR="00205277" w:rsidRPr="000D3DA7">
              <w:rPr>
                <w:rStyle w:val="Hyperlink"/>
                <w:rFonts w:ascii="Times New Roman" w:hAnsi="Times New Roman" w:cs="Times New Roman"/>
                <w:b/>
                <w:noProof/>
                <w:lang w:val="ro-MD"/>
              </w:rPr>
              <w:t>Anexa nr. 4:</w:t>
            </w:r>
            <w:r w:rsidR="00205277" w:rsidRPr="000D3DA7">
              <w:rPr>
                <w:rStyle w:val="Hyperlink"/>
                <w:rFonts w:ascii="Times New Roman" w:hAnsi="Times New Roman" w:cs="Times New Roman"/>
                <w:noProof/>
                <w:lang w:val="ro-MD"/>
              </w:rPr>
              <w:t xml:space="preserve"> Analiza activității Organelor colegiale de supraveghere ale UIPFAE</w:t>
            </w:r>
            <w:r w:rsidR="00205277">
              <w:rPr>
                <w:noProof/>
                <w:webHidden/>
              </w:rPr>
              <w:tab/>
            </w:r>
            <w:r w:rsidR="00205277">
              <w:rPr>
                <w:noProof/>
                <w:webHidden/>
              </w:rPr>
              <w:fldChar w:fldCharType="begin"/>
            </w:r>
            <w:r w:rsidR="00205277">
              <w:rPr>
                <w:noProof/>
                <w:webHidden/>
              </w:rPr>
              <w:instrText xml:space="preserve"> PAGEREF _Toc185943228 \h </w:instrText>
            </w:r>
            <w:r w:rsidR="00205277">
              <w:rPr>
                <w:noProof/>
                <w:webHidden/>
              </w:rPr>
            </w:r>
            <w:r w:rsidR="00205277">
              <w:rPr>
                <w:noProof/>
                <w:webHidden/>
              </w:rPr>
              <w:fldChar w:fldCharType="separate"/>
            </w:r>
            <w:r w:rsidR="001154EF">
              <w:rPr>
                <w:noProof/>
                <w:webHidden/>
              </w:rPr>
              <w:t>44</w:t>
            </w:r>
            <w:r w:rsidR="00205277">
              <w:rPr>
                <w:noProof/>
                <w:webHidden/>
              </w:rPr>
              <w:fldChar w:fldCharType="end"/>
            </w:r>
          </w:hyperlink>
        </w:p>
        <w:p w14:paraId="62AEC734" w14:textId="1358EBAA" w:rsidR="00205277" w:rsidRDefault="00A148BF">
          <w:pPr>
            <w:pStyle w:val="TOC2"/>
            <w:tabs>
              <w:tab w:val="right" w:leader="dot" w:pos="9347"/>
            </w:tabs>
            <w:rPr>
              <w:rFonts w:eastAsiaTheme="minorEastAsia"/>
              <w:noProof/>
            </w:rPr>
          </w:pPr>
          <w:hyperlink w:anchor="_Toc185943229" w:history="1">
            <w:r w:rsidR="00205277" w:rsidRPr="000D3DA7">
              <w:rPr>
                <w:rStyle w:val="Hyperlink"/>
                <w:rFonts w:ascii="Times New Roman" w:hAnsi="Times New Roman" w:cs="Times New Roman"/>
                <w:b/>
                <w:noProof/>
                <w:lang w:val="ro-MD"/>
              </w:rPr>
              <w:t>Anexa nr. 5:</w:t>
            </w:r>
            <w:r w:rsidR="00205277" w:rsidRPr="000D3DA7">
              <w:rPr>
                <w:rStyle w:val="Hyperlink"/>
                <w:rFonts w:ascii="Times New Roman" w:hAnsi="Times New Roman" w:cs="Times New Roman"/>
                <w:noProof/>
                <w:lang w:val="ro-MD"/>
              </w:rPr>
              <w:t xml:space="preserve"> Analiza indicatorilor financiari ai UIPFAE pentru anii de gestiune 2022-2023</w:t>
            </w:r>
            <w:r w:rsidR="00205277">
              <w:rPr>
                <w:noProof/>
                <w:webHidden/>
              </w:rPr>
              <w:tab/>
            </w:r>
            <w:r w:rsidR="00205277">
              <w:rPr>
                <w:noProof/>
                <w:webHidden/>
              </w:rPr>
              <w:fldChar w:fldCharType="begin"/>
            </w:r>
            <w:r w:rsidR="00205277">
              <w:rPr>
                <w:noProof/>
                <w:webHidden/>
              </w:rPr>
              <w:instrText xml:space="preserve"> PAGEREF _Toc185943229 \h </w:instrText>
            </w:r>
            <w:r w:rsidR="00205277">
              <w:rPr>
                <w:noProof/>
                <w:webHidden/>
              </w:rPr>
            </w:r>
            <w:r w:rsidR="00205277">
              <w:rPr>
                <w:noProof/>
                <w:webHidden/>
              </w:rPr>
              <w:fldChar w:fldCharType="separate"/>
            </w:r>
            <w:r w:rsidR="001154EF">
              <w:rPr>
                <w:noProof/>
                <w:webHidden/>
              </w:rPr>
              <w:t>45</w:t>
            </w:r>
            <w:r w:rsidR="00205277">
              <w:rPr>
                <w:noProof/>
                <w:webHidden/>
              </w:rPr>
              <w:fldChar w:fldCharType="end"/>
            </w:r>
          </w:hyperlink>
        </w:p>
        <w:p w14:paraId="661D1232" w14:textId="50980CF2" w:rsidR="00205277" w:rsidRDefault="00A148BF">
          <w:pPr>
            <w:pStyle w:val="TOC2"/>
            <w:tabs>
              <w:tab w:val="right" w:leader="dot" w:pos="9347"/>
            </w:tabs>
            <w:rPr>
              <w:rFonts w:eastAsiaTheme="minorEastAsia"/>
              <w:noProof/>
            </w:rPr>
          </w:pPr>
          <w:hyperlink w:anchor="_Toc185943230" w:history="1">
            <w:r w:rsidR="00205277" w:rsidRPr="000D3DA7">
              <w:rPr>
                <w:rStyle w:val="Hyperlink"/>
                <w:rFonts w:ascii="Times New Roman" w:hAnsi="Times New Roman" w:cs="Times New Roman"/>
                <w:b/>
                <w:noProof/>
                <w:lang w:val="ro-MD"/>
              </w:rPr>
              <w:t>Anexa nr. 6:</w:t>
            </w:r>
            <w:r w:rsidR="00205277" w:rsidRPr="000D3DA7">
              <w:rPr>
                <w:rStyle w:val="Hyperlink"/>
                <w:rFonts w:ascii="Times New Roman" w:hAnsi="Times New Roman" w:cs="Times New Roman"/>
                <w:noProof/>
                <w:lang w:val="ro-MD"/>
              </w:rPr>
              <w:t xml:space="preserve"> Documentele și procedurile necesare pentru asigurarea managementului calității în procesul de implementare a Proiectelor</w:t>
            </w:r>
            <w:r w:rsidR="00205277">
              <w:rPr>
                <w:noProof/>
                <w:webHidden/>
              </w:rPr>
              <w:tab/>
            </w:r>
            <w:r w:rsidR="00205277">
              <w:rPr>
                <w:noProof/>
                <w:webHidden/>
              </w:rPr>
              <w:fldChar w:fldCharType="begin"/>
            </w:r>
            <w:r w:rsidR="00205277">
              <w:rPr>
                <w:noProof/>
                <w:webHidden/>
              </w:rPr>
              <w:instrText xml:space="preserve"> PAGEREF _Toc185943230 \h </w:instrText>
            </w:r>
            <w:r w:rsidR="00205277">
              <w:rPr>
                <w:noProof/>
                <w:webHidden/>
              </w:rPr>
            </w:r>
            <w:r w:rsidR="00205277">
              <w:rPr>
                <w:noProof/>
                <w:webHidden/>
              </w:rPr>
              <w:fldChar w:fldCharType="separate"/>
            </w:r>
            <w:r w:rsidR="001154EF">
              <w:rPr>
                <w:noProof/>
                <w:webHidden/>
              </w:rPr>
              <w:t>46</w:t>
            </w:r>
            <w:r w:rsidR="00205277">
              <w:rPr>
                <w:noProof/>
                <w:webHidden/>
              </w:rPr>
              <w:fldChar w:fldCharType="end"/>
            </w:r>
          </w:hyperlink>
        </w:p>
        <w:p w14:paraId="044FEF1F" w14:textId="4635C8A0" w:rsidR="00205277" w:rsidRDefault="00A148BF">
          <w:pPr>
            <w:pStyle w:val="TOC2"/>
            <w:tabs>
              <w:tab w:val="right" w:leader="dot" w:pos="9347"/>
            </w:tabs>
            <w:rPr>
              <w:rFonts w:eastAsiaTheme="minorEastAsia"/>
              <w:noProof/>
            </w:rPr>
          </w:pPr>
          <w:hyperlink w:anchor="_Toc185943231" w:history="1">
            <w:r w:rsidR="00205277" w:rsidRPr="000D3DA7">
              <w:rPr>
                <w:rStyle w:val="Hyperlink"/>
                <w:rFonts w:ascii="Times New Roman" w:hAnsi="Times New Roman" w:cs="Times New Roman"/>
                <w:b/>
                <w:noProof/>
                <w:lang w:val="ro-MD"/>
              </w:rPr>
              <w:t>Anexa nr. 7:</w:t>
            </w:r>
            <w:r w:rsidR="00205277" w:rsidRPr="000D3DA7">
              <w:rPr>
                <w:rStyle w:val="Hyperlink"/>
                <w:rFonts w:ascii="Times New Roman" w:hAnsi="Times New Roman" w:cs="Times New Roman"/>
                <w:noProof/>
                <w:lang w:val="ro-MD"/>
              </w:rPr>
              <w:t xml:space="preserve"> Rezultatele proiectelor implementate de către UIPFAE în perioada 2022-2023</w:t>
            </w:r>
            <w:r w:rsidR="00205277">
              <w:rPr>
                <w:noProof/>
                <w:webHidden/>
              </w:rPr>
              <w:tab/>
            </w:r>
            <w:r w:rsidR="00205277">
              <w:rPr>
                <w:noProof/>
                <w:webHidden/>
              </w:rPr>
              <w:fldChar w:fldCharType="begin"/>
            </w:r>
            <w:r w:rsidR="00205277">
              <w:rPr>
                <w:noProof/>
                <w:webHidden/>
              </w:rPr>
              <w:instrText xml:space="preserve"> PAGEREF _Toc185943231 \h </w:instrText>
            </w:r>
            <w:r w:rsidR="00205277">
              <w:rPr>
                <w:noProof/>
                <w:webHidden/>
              </w:rPr>
            </w:r>
            <w:r w:rsidR="00205277">
              <w:rPr>
                <w:noProof/>
                <w:webHidden/>
              </w:rPr>
              <w:fldChar w:fldCharType="separate"/>
            </w:r>
            <w:r w:rsidR="001154EF">
              <w:rPr>
                <w:noProof/>
                <w:webHidden/>
              </w:rPr>
              <w:t>53</w:t>
            </w:r>
            <w:r w:rsidR="00205277">
              <w:rPr>
                <w:noProof/>
                <w:webHidden/>
              </w:rPr>
              <w:fldChar w:fldCharType="end"/>
            </w:r>
          </w:hyperlink>
        </w:p>
        <w:p w14:paraId="286399F3" w14:textId="73F3CC20" w:rsidR="00FA386E" w:rsidRPr="00483DC7" w:rsidRDefault="00FA386E" w:rsidP="00FA386E">
          <w:pPr>
            <w:pStyle w:val="TOCHeading"/>
            <w:rPr>
              <w:rFonts w:ascii="Times New Roman" w:hAnsi="Times New Roman" w:cs="Times New Roman"/>
              <w:lang w:val="ro-MD"/>
            </w:rPr>
          </w:pPr>
          <w:r w:rsidRPr="00483DC7">
            <w:rPr>
              <w:rFonts w:ascii="Times New Roman" w:hAnsi="Times New Roman" w:cs="Times New Roman"/>
              <w:b/>
              <w:bCs/>
              <w:noProof/>
              <w:lang w:val="ro-MD"/>
            </w:rPr>
            <w:fldChar w:fldCharType="end"/>
          </w:r>
        </w:p>
      </w:sdtContent>
    </w:sdt>
    <w:p w14:paraId="1015D141" w14:textId="77777777" w:rsidR="00FA386E" w:rsidRPr="00483DC7" w:rsidRDefault="00FA386E" w:rsidP="00FA386E">
      <w:pPr>
        <w:pStyle w:val="Heading1"/>
        <w:rPr>
          <w:rFonts w:ascii="Times New Roman" w:hAnsi="Times New Roman" w:cs="Times New Roman"/>
          <w:b/>
          <w:color w:val="auto"/>
          <w:sz w:val="24"/>
          <w:szCs w:val="24"/>
          <w:lang w:val="ro-MD"/>
        </w:rPr>
      </w:pPr>
      <w:r w:rsidRPr="00483DC7">
        <w:rPr>
          <w:rFonts w:ascii="Times New Roman" w:hAnsi="Times New Roman" w:cs="Times New Roman"/>
          <w:b/>
          <w:color w:val="auto"/>
          <w:sz w:val="24"/>
          <w:szCs w:val="24"/>
          <w:lang w:val="ro-MD"/>
        </w:rPr>
        <w:br w:type="page"/>
      </w:r>
    </w:p>
    <w:p w14:paraId="30095327" w14:textId="77777777" w:rsidR="00FA386E" w:rsidRPr="00483DC7" w:rsidRDefault="00FA386E" w:rsidP="00FA386E">
      <w:pPr>
        <w:pStyle w:val="Heading1"/>
        <w:rPr>
          <w:rFonts w:ascii="Times New Roman" w:hAnsi="Times New Roman" w:cs="Times New Roman"/>
          <w:b/>
          <w:color w:val="auto"/>
          <w:sz w:val="24"/>
          <w:szCs w:val="24"/>
          <w:lang w:val="ro-MD"/>
        </w:rPr>
      </w:pPr>
      <w:bookmarkStart w:id="1" w:name="_Toc185943207"/>
      <w:r w:rsidRPr="00483DC7">
        <w:rPr>
          <w:rFonts w:ascii="Times New Roman" w:hAnsi="Times New Roman" w:cs="Times New Roman"/>
          <w:b/>
          <w:color w:val="auto"/>
          <w:sz w:val="24"/>
          <w:szCs w:val="24"/>
          <w:lang w:val="ro-MD"/>
        </w:rPr>
        <w:lastRenderedPageBreak/>
        <w:t>LISTA ACRONIMELOR</w:t>
      </w:r>
      <w:bookmarkEnd w:id="1"/>
    </w:p>
    <w:tbl>
      <w:tblPr>
        <w:tblStyle w:val="TableGrid"/>
        <w:tblW w:w="0" w:type="auto"/>
        <w:tblLook w:val="04A0" w:firstRow="1" w:lastRow="0" w:firstColumn="1" w:lastColumn="0" w:noHBand="0" w:noVBand="1"/>
      </w:tblPr>
      <w:tblGrid>
        <w:gridCol w:w="1439"/>
        <w:gridCol w:w="7908"/>
      </w:tblGrid>
      <w:tr w:rsidR="00FA386E" w:rsidRPr="00504C80" w14:paraId="574D4C85" w14:textId="77777777" w:rsidTr="00D8036C">
        <w:tc>
          <w:tcPr>
            <w:tcW w:w="1439" w:type="dxa"/>
          </w:tcPr>
          <w:p w14:paraId="70C7BCE8" w14:textId="77777777" w:rsidR="00FA386E"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ADMA</w:t>
            </w:r>
          </w:p>
        </w:tc>
        <w:tc>
          <w:tcPr>
            <w:tcW w:w="7908" w:type="dxa"/>
          </w:tcPr>
          <w:p w14:paraId="39A703E5" w14:textId="77777777" w:rsidR="00FA386E"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Agenția pentru Dezvoltarea și Modernizarea Agriculturii</w:t>
            </w:r>
          </w:p>
        </w:tc>
      </w:tr>
      <w:tr w:rsidR="00FA386E" w:rsidRPr="00504C80" w14:paraId="0099A226" w14:textId="77777777" w:rsidTr="00D8036C">
        <w:tc>
          <w:tcPr>
            <w:tcW w:w="1439" w:type="dxa"/>
          </w:tcPr>
          <w:p w14:paraId="4B7D6C79" w14:textId="77777777" w:rsidR="00FA386E"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ANP</w:t>
            </w:r>
          </w:p>
        </w:tc>
        <w:tc>
          <w:tcPr>
            <w:tcW w:w="7908" w:type="dxa"/>
          </w:tcPr>
          <w:p w14:paraId="25B735DA" w14:textId="77777777" w:rsidR="00FA386E"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Administrația Națională a Penitenciarelor</w:t>
            </w:r>
          </w:p>
        </w:tc>
      </w:tr>
      <w:tr w:rsidR="00FA386E" w:rsidRPr="00504C80" w14:paraId="75861C26" w14:textId="77777777" w:rsidTr="00D8036C">
        <w:tc>
          <w:tcPr>
            <w:tcW w:w="1439" w:type="dxa"/>
          </w:tcPr>
          <w:p w14:paraId="20EE36E4" w14:textId="77777777" w:rsidR="00FA386E"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BM</w:t>
            </w:r>
          </w:p>
        </w:tc>
        <w:tc>
          <w:tcPr>
            <w:tcW w:w="7908" w:type="dxa"/>
          </w:tcPr>
          <w:p w14:paraId="6DBC8D50" w14:textId="77777777" w:rsidR="00FA386E"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Banca Mondială</w:t>
            </w:r>
          </w:p>
        </w:tc>
      </w:tr>
      <w:tr w:rsidR="00150427" w:rsidRPr="00504C80" w14:paraId="0B2AA448" w14:textId="77777777" w:rsidTr="00D8036C">
        <w:tc>
          <w:tcPr>
            <w:tcW w:w="1439" w:type="dxa"/>
          </w:tcPr>
          <w:p w14:paraId="70AB6CB6" w14:textId="5F77C068" w:rsidR="00150427" w:rsidRPr="00504C80" w:rsidRDefault="00150427"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BPN</w:t>
            </w:r>
          </w:p>
        </w:tc>
        <w:tc>
          <w:tcPr>
            <w:tcW w:w="7908" w:type="dxa"/>
          </w:tcPr>
          <w:p w14:paraId="7B7679C6" w14:textId="51905A39" w:rsidR="00150427" w:rsidRPr="00504C80" w:rsidRDefault="00150427"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Bugetul Public Național</w:t>
            </w:r>
          </w:p>
        </w:tc>
      </w:tr>
      <w:tr w:rsidR="00DC47DC" w:rsidRPr="00504C80" w14:paraId="4E46BAF8" w14:textId="77777777" w:rsidTr="00D8036C">
        <w:tc>
          <w:tcPr>
            <w:tcW w:w="1439" w:type="dxa"/>
          </w:tcPr>
          <w:p w14:paraId="34F2DD8F" w14:textId="77777777" w:rsidR="00DC47DC"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CIM</w:t>
            </w:r>
          </w:p>
        </w:tc>
        <w:tc>
          <w:tcPr>
            <w:tcW w:w="7908" w:type="dxa"/>
          </w:tcPr>
          <w:p w14:paraId="642A853F" w14:textId="77777777" w:rsidR="00DC47DC"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Contracte individuale de muncă</w:t>
            </w:r>
          </w:p>
        </w:tc>
      </w:tr>
      <w:tr w:rsidR="00DC47DC" w:rsidRPr="00504C80" w14:paraId="78D43AC9" w14:textId="77777777" w:rsidTr="00D8036C">
        <w:tc>
          <w:tcPr>
            <w:tcW w:w="1439" w:type="dxa"/>
          </w:tcPr>
          <w:p w14:paraId="0A7FAA51" w14:textId="77777777" w:rsidR="00DC47DC"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CPS</w:t>
            </w:r>
          </w:p>
        </w:tc>
        <w:tc>
          <w:tcPr>
            <w:tcW w:w="7908" w:type="dxa"/>
          </w:tcPr>
          <w:p w14:paraId="5EB5A051" w14:textId="77777777" w:rsidR="00DC47DC"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Contracte de prestări servicii, încheiate cu persoane fizice</w:t>
            </w:r>
          </w:p>
        </w:tc>
      </w:tr>
      <w:tr w:rsidR="00DC47DC" w:rsidRPr="00504C80" w14:paraId="4BAE5DD2" w14:textId="77777777" w:rsidTr="00D8036C">
        <w:tc>
          <w:tcPr>
            <w:tcW w:w="1439" w:type="dxa"/>
          </w:tcPr>
          <w:p w14:paraId="00E0186D" w14:textId="77777777" w:rsidR="00DC47DC" w:rsidRPr="00504C80" w:rsidRDefault="00DC47D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HCC</w:t>
            </w:r>
          </w:p>
        </w:tc>
        <w:tc>
          <w:tcPr>
            <w:tcW w:w="7908" w:type="dxa"/>
          </w:tcPr>
          <w:p w14:paraId="3015B430" w14:textId="77777777" w:rsidR="00DC47DC" w:rsidRPr="00504C80" w:rsidRDefault="00DC47D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Hotărârea Curții de Conturi</w:t>
            </w:r>
          </w:p>
        </w:tc>
      </w:tr>
      <w:tr w:rsidR="00DC47DC" w:rsidRPr="00504C80" w14:paraId="41CECEE5" w14:textId="77777777" w:rsidTr="00D8036C">
        <w:tc>
          <w:tcPr>
            <w:tcW w:w="1439" w:type="dxa"/>
          </w:tcPr>
          <w:p w14:paraId="7B521219" w14:textId="77777777" w:rsidR="00DC47DC" w:rsidRPr="00504C80" w:rsidRDefault="00D8036C" w:rsidP="00FA386E">
            <w:pPr>
              <w:rPr>
                <w:rFonts w:ascii="Times New Roman" w:hAnsi="Times New Roman" w:cs="Times New Roman"/>
                <w:b/>
                <w:sz w:val="18"/>
                <w:szCs w:val="18"/>
                <w:lang w:val="ro-MD"/>
              </w:rPr>
            </w:pPr>
            <w:r w:rsidRPr="00504C80">
              <w:rPr>
                <w:rFonts w:ascii="Times New Roman" w:hAnsi="Times New Roman" w:cs="Times New Roman"/>
                <w:b/>
                <w:sz w:val="18"/>
                <w:szCs w:val="18"/>
                <w:lang w:val="ro-MD"/>
              </w:rPr>
              <w:t>HG</w:t>
            </w:r>
          </w:p>
        </w:tc>
        <w:tc>
          <w:tcPr>
            <w:tcW w:w="7908" w:type="dxa"/>
          </w:tcPr>
          <w:p w14:paraId="168D3249" w14:textId="77777777" w:rsidR="00DC47DC" w:rsidRPr="00504C80" w:rsidRDefault="00D8036C" w:rsidP="00FA386E">
            <w:pPr>
              <w:rPr>
                <w:rFonts w:ascii="Times New Roman" w:hAnsi="Times New Roman" w:cs="Times New Roman"/>
                <w:sz w:val="18"/>
                <w:szCs w:val="18"/>
                <w:lang w:val="ro-MD"/>
              </w:rPr>
            </w:pPr>
            <w:r w:rsidRPr="00504C80">
              <w:rPr>
                <w:rFonts w:ascii="Times New Roman" w:hAnsi="Times New Roman" w:cs="Times New Roman"/>
                <w:sz w:val="18"/>
                <w:szCs w:val="18"/>
                <w:lang w:val="ro-MD"/>
              </w:rPr>
              <w:t>Hotărârea Guvernului Republicii Moldova</w:t>
            </w:r>
          </w:p>
        </w:tc>
      </w:tr>
      <w:tr w:rsidR="00D8036C" w:rsidRPr="00504C80" w14:paraId="14E73C04" w14:textId="77777777" w:rsidTr="00D8036C">
        <w:tc>
          <w:tcPr>
            <w:tcW w:w="1439" w:type="dxa"/>
          </w:tcPr>
          <w:p w14:paraId="35E3FFC2"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HP</w:t>
            </w:r>
          </w:p>
        </w:tc>
        <w:tc>
          <w:tcPr>
            <w:tcW w:w="7908" w:type="dxa"/>
          </w:tcPr>
          <w:p w14:paraId="06D783C8"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Hotărârea Parlamentului Republicii Moldova</w:t>
            </w:r>
          </w:p>
        </w:tc>
      </w:tr>
      <w:tr w:rsidR="00D8036C" w:rsidRPr="00504C80" w14:paraId="1ED85801" w14:textId="77777777" w:rsidTr="00D8036C">
        <w:tc>
          <w:tcPr>
            <w:tcW w:w="1439" w:type="dxa"/>
          </w:tcPr>
          <w:p w14:paraId="05F62D50"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IFAD</w:t>
            </w:r>
          </w:p>
        </w:tc>
        <w:tc>
          <w:tcPr>
            <w:tcW w:w="7908" w:type="dxa"/>
          </w:tcPr>
          <w:p w14:paraId="503510F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Fondul Internațional pentru Dezvoltare Agricolă</w:t>
            </w:r>
          </w:p>
        </w:tc>
      </w:tr>
      <w:tr w:rsidR="00F1020D" w:rsidRPr="00504C80" w14:paraId="30B880C4" w14:textId="77777777" w:rsidTr="00D8036C">
        <w:tc>
          <w:tcPr>
            <w:tcW w:w="1439" w:type="dxa"/>
          </w:tcPr>
          <w:p w14:paraId="2FBBD287" w14:textId="1EB6E817" w:rsidR="00F1020D" w:rsidRPr="00504C80" w:rsidRDefault="00F1020D"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MADRM</w:t>
            </w:r>
          </w:p>
        </w:tc>
        <w:tc>
          <w:tcPr>
            <w:tcW w:w="7908" w:type="dxa"/>
          </w:tcPr>
          <w:p w14:paraId="53885883" w14:textId="2B618AAE" w:rsidR="00F1020D" w:rsidRPr="00504C80" w:rsidRDefault="00F1020D"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Agriculturii, Dezvoltării Regionale și Mediului</w:t>
            </w:r>
          </w:p>
        </w:tc>
      </w:tr>
      <w:tr w:rsidR="00F1020D" w:rsidRPr="00504C80" w14:paraId="3807DF4A" w14:textId="77777777" w:rsidTr="00D8036C">
        <w:tc>
          <w:tcPr>
            <w:tcW w:w="1439" w:type="dxa"/>
          </w:tcPr>
          <w:p w14:paraId="4929F4AE" w14:textId="6FEEE092" w:rsidR="00F1020D" w:rsidRPr="00504C80" w:rsidRDefault="00F1020D"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MAE</w:t>
            </w:r>
          </w:p>
        </w:tc>
        <w:tc>
          <w:tcPr>
            <w:tcW w:w="7908" w:type="dxa"/>
          </w:tcPr>
          <w:p w14:paraId="699C9B8A" w14:textId="04ADF7F0" w:rsidR="00F1020D" w:rsidRPr="00504C80" w:rsidRDefault="00F1020D" w:rsidP="00F1020D">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Afacerilor Externe</w:t>
            </w:r>
          </w:p>
        </w:tc>
      </w:tr>
      <w:tr w:rsidR="00D8036C" w:rsidRPr="00504C80" w14:paraId="68EAE7F7" w14:textId="77777777" w:rsidTr="00D8036C">
        <w:tc>
          <w:tcPr>
            <w:tcW w:w="1439" w:type="dxa"/>
          </w:tcPr>
          <w:p w14:paraId="6CB4DF66"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MAIA</w:t>
            </w:r>
          </w:p>
        </w:tc>
        <w:tc>
          <w:tcPr>
            <w:tcW w:w="7908" w:type="dxa"/>
          </w:tcPr>
          <w:p w14:paraId="71EB3F5E"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Agriculturii și Industriei Alimentare</w:t>
            </w:r>
          </w:p>
        </w:tc>
      </w:tr>
      <w:tr w:rsidR="00F1020D" w:rsidRPr="00504C80" w14:paraId="56E35D11" w14:textId="77777777" w:rsidTr="00D8036C">
        <w:tc>
          <w:tcPr>
            <w:tcW w:w="1439" w:type="dxa"/>
          </w:tcPr>
          <w:p w14:paraId="7A120A53" w14:textId="24816D1E" w:rsidR="00F1020D" w:rsidRPr="00504C80" w:rsidRDefault="00F1020D"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MC</w:t>
            </w:r>
          </w:p>
        </w:tc>
        <w:tc>
          <w:tcPr>
            <w:tcW w:w="7908" w:type="dxa"/>
          </w:tcPr>
          <w:p w14:paraId="212300D3" w14:textId="7FCCC1F1" w:rsidR="00F1020D" w:rsidRPr="00504C80" w:rsidRDefault="00F1020D"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Culturii</w:t>
            </w:r>
          </w:p>
        </w:tc>
      </w:tr>
      <w:tr w:rsidR="00D8036C" w:rsidRPr="00504C80" w14:paraId="23DE2535" w14:textId="77777777" w:rsidTr="00D8036C">
        <w:tc>
          <w:tcPr>
            <w:tcW w:w="1439" w:type="dxa"/>
          </w:tcPr>
          <w:p w14:paraId="16D1E173"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MDED</w:t>
            </w:r>
          </w:p>
        </w:tc>
        <w:tc>
          <w:tcPr>
            <w:tcW w:w="7908" w:type="dxa"/>
          </w:tcPr>
          <w:p w14:paraId="0CC2AFC7"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Dezvoltării Economice și Digitalizării</w:t>
            </w:r>
          </w:p>
        </w:tc>
      </w:tr>
      <w:tr w:rsidR="00D8036C" w:rsidRPr="00504C80" w14:paraId="56B8A11B" w14:textId="77777777" w:rsidTr="00D8036C">
        <w:tc>
          <w:tcPr>
            <w:tcW w:w="1439" w:type="dxa"/>
          </w:tcPr>
          <w:p w14:paraId="1C4639C6"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ME</w:t>
            </w:r>
          </w:p>
        </w:tc>
        <w:tc>
          <w:tcPr>
            <w:tcW w:w="7908" w:type="dxa"/>
          </w:tcPr>
          <w:p w14:paraId="4D231A66"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Energiei</w:t>
            </w:r>
          </w:p>
        </w:tc>
      </w:tr>
      <w:tr w:rsidR="00AB1C3B" w:rsidRPr="00504C80" w14:paraId="73446FD8" w14:textId="77777777" w:rsidTr="00D8036C">
        <w:tc>
          <w:tcPr>
            <w:tcW w:w="1439" w:type="dxa"/>
          </w:tcPr>
          <w:p w14:paraId="32F780AD" w14:textId="734FA750" w:rsidR="00AB1C3B" w:rsidRPr="00504C80" w:rsidRDefault="00AB1C3B"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MECC</w:t>
            </w:r>
          </w:p>
        </w:tc>
        <w:tc>
          <w:tcPr>
            <w:tcW w:w="7908" w:type="dxa"/>
          </w:tcPr>
          <w:p w14:paraId="5C102ABD" w14:textId="6AE063F6" w:rsidR="00AB1C3B" w:rsidRPr="00504C80" w:rsidRDefault="00AB1C3B" w:rsidP="00324767">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Educației, Culturii</w:t>
            </w:r>
            <w:r w:rsidR="00324767" w:rsidRPr="00504C80">
              <w:rPr>
                <w:rFonts w:ascii="Times New Roman" w:hAnsi="Times New Roman" w:cs="Times New Roman"/>
                <w:sz w:val="18"/>
                <w:szCs w:val="18"/>
                <w:lang w:val="ro-MD"/>
              </w:rPr>
              <w:t xml:space="preserve"> și Cercetării</w:t>
            </w:r>
          </w:p>
        </w:tc>
      </w:tr>
      <w:tr w:rsidR="00D8036C" w:rsidRPr="00504C80" w14:paraId="4A711D20" w14:textId="77777777" w:rsidTr="00D8036C">
        <w:tc>
          <w:tcPr>
            <w:tcW w:w="1439" w:type="dxa"/>
          </w:tcPr>
          <w:p w14:paraId="040971CA"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MF</w:t>
            </w:r>
          </w:p>
        </w:tc>
        <w:tc>
          <w:tcPr>
            <w:tcW w:w="7908" w:type="dxa"/>
          </w:tcPr>
          <w:p w14:paraId="795EF1D9"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Finanțelor</w:t>
            </w:r>
          </w:p>
        </w:tc>
      </w:tr>
      <w:tr w:rsidR="00D8036C" w:rsidRPr="00504C80" w14:paraId="404965D4" w14:textId="77777777" w:rsidTr="00D8036C">
        <w:tc>
          <w:tcPr>
            <w:tcW w:w="1439" w:type="dxa"/>
          </w:tcPr>
          <w:p w14:paraId="707721E0"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MIDR</w:t>
            </w:r>
          </w:p>
        </w:tc>
        <w:tc>
          <w:tcPr>
            <w:tcW w:w="7908" w:type="dxa"/>
          </w:tcPr>
          <w:p w14:paraId="255B72A2"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Infrastructurii și Dezvoltării Regionale</w:t>
            </w:r>
          </w:p>
        </w:tc>
      </w:tr>
      <w:tr w:rsidR="00D8036C" w:rsidRPr="00504C80" w14:paraId="5130154C" w14:textId="77777777" w:rsidTr="00D8036C">
        <w:tc>
          <w:tcPr>
            <w:tcW w:w="1439" w:type="dxa"/>
          </w:tcPr>
          <w:p w14:paraId="5AD4399A"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MJ</w:t>
            </w:r>
          </w:p>
        </w:tc>
        <w:tc>
          <w:tcPr>
            <w:tcW w:w="7908" w:type="dxa"/>
          </w:tcPr>
          <w:p w14:paraId="1AB29CA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Justiției</w:t>
            </w:r>
          </w:p>
        </w:tc>
      </w:tr>
      <w:tr w:rsidR="00D8036C" w:rsidRPr="00504C80" w14:paraId="41C5178A" w14:textId="77777777" w:rsidTr="00D8036C">
        <w:tc>
          <w:tcPr>
            <w:tcW w:w="1439" w:type="dxa"/>
          </w:tcPr>
          <w:p w14:paraId="3CADD6A8"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MM</w:t>
            </w:r>
          </w:p>
        </w:tc>
        <w:tc>
          <w:tcPr>
            <w:tcW w:w="7908" w:type="dxa"/>
          </w:tcPr>
          <w:p w14:paraId="7410C0E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Mediului</w:t>
            </w:r>
          </w:p>
        </w:tc>
      </w:tr>
      <w:tr w:rsidR="00AB1C3B" w:rsidRPr="00504C80" w14:paraId="64BB5AEA" w14:textId="77777777" w:rsidTr="00D8036C">
        <w:tc>
          <w:tcPr>
            <w:tcW w:w="1439" w:type="dxa"/>
          </w:tcPr>
          <w:p w14:paraId="4A5281B4" w14:textId="213F00FC" w:rsidR="00AB1C3B" w:rsidRPr="00504C80" w:rsidRDefault="00AB1C3B"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MMPS</w:t>
            </w:r>
          </w:p>
        </w:tc>
        <w:tc>
          <w:tcPr>
            <w:tcW w:w="7908" w:type="dxa"/>
          </w:tcPr>
          <w:p w14:paraId="5A46AF2E" w14:textId="5659267C" w:rsidR="00AB1C3B" w:rsidRPr="00504C80" w:rsidRDefault="00AB1C3B"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Muncii și Protecției Sociale</w:t>
            </w:r>
          </w:p>
        </w:tc>
      </w:tr>
      <w:tr w:rsidR="00D8036C" w:rsidRPr="00504C80" w14:paraId="23949518" w14:textId="77777777" w:rsidTr="00D8036C">
        <w:tc>
          <w:tcPr>
            <w:tcW w:w="1439" w:type="dxa"/>
          </w:tcPr>
          <w:p w14:paraId="4124D6D5"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MS</w:t>
            </w:r>
          </w:p>
        </w:tc>
        <w:tc>
          <w:tcPr>
            <w:tcW w:w="7908" w:type="dxa"/>
          </w:tcPr>
          <w:p w14:paraId="3D52911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Sănătății</w:t>
            </w:r>
          </w:p>
        </w:tc>
      </w:tr>
      <w:tr w:rsidR="00504C80" w:rsidRPr="00504C80" w14:paraId="2FB10C57" w14:textId="77777777" w:rsidTr="00D8036C">
        <w:tc>
          <w:tcPr>
            <w:tcW w:w="1439" w:type="dxa"/>
          </w:tcPr>
          <w:p w14:paraId="43D00E9E" w14:textId="4344C98B" w:rsidR="00504C80" w:rsidRPr="00504C80" w:rsidRDefault="00504C80"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MSMPS</w:t>
            </w:r>
          </w:p>
        </w:tc>
        <w:tc>
          <w:tcPr>
            <w:tcW w:w="7908" w:type="dxa"/>
          </w:tcPr>
          <w:p w14:paraId="1FCDA7F4" w14:textId="06461283" w:rsidR="00504C80" w:rsidRPr="00504C80" w:rsidRDefault="00504C80"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Ministerul Sănătății, Muncii și Protecției Sociale</w:t>
            </w:r>
          </w:p>
        </w:tc>
      </w:tr>
      <w:tr w:rsidR="00D8036C" w:rsidRPr="00504C80" w14:paraId="70B89AAE" w14:textId="77777777" w:rsidTr="00D8036C">
        <w:tc>
          <w:tcPr>
            <w:tcW w:w="1439" w:type="dxa"/>
          </w:tcPr>
          <w:p w14:paraId="1628719E"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OCS</w:t>
            </w:r>
          </w:p>
        </w:tc>
        <w:tc>
          <w:tcPr>
            <w:tcW w:w="7908" w:type="dxa"/>
          </w:tcPr>
          <w:p w14:paraId="289B813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Organul Colegial de Supraveghere a UIPFAE</w:t>
            </w:r>
          </w:p>
        </w:tc>
      </w:tr>
      <w:tr w:rsidR="00D8036C" w:rsidRPr="00504C80" w14:paraId="2A8A0FB9" w14:textId="77777777" w:rsidTr="00D8036C">
        <w:tc>
          <w:tcPr>
            <w:tcW w:w="1439" w:type="dxa"/>
          </w:tcPr>
          <w:p w14:paraId="7512E989"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OGPAE</w:t>
            </w:r>
          </w:p>
        </w:tc>
        <w:tc>
          <w:tcPr>
            <w:tcW w:w="7908" w:type="dxa"/>
          </w:tcPr>
          <w:p w14:paraId="7196355C"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Oficiul de Gestionare a Programelor de Asistență Externă</w:t>
            </w:r>
          </w:p>
        </w:tc>
      </w:tr>
      <w:tr w:rsidR="00D8036C" w:rsidRPr="00504C80" w14:paraId="13982868" w14:textId="77777777" w:rsidTr="00D8036C">
        <w:tc>
          <w:tcPr>
            <w:tcW w:w="1439" w:type="dxa"/>
          </w:tcPr>
          <w:p w14:paraId="0D89E515"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ONDRL</w:t>
            </w:r>
          </w:p>
        </w:tc>
        <w:tc>
          <w:tcPr>
            <w:tcW w:w="7908" w:type="dxa"/>
          </w:tcPr>
          <w:p w14:paraId="7E2604EE"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Oficiul Național de Dezvoltare Regională și Locală (fost FISM)</w:t>
            </w:r>
          </w:p>
        </w:tc>
      </w:tr>
      <w:tr w:rsidR="00D8036C" w:rsidRPr="00504C80" w14:paraId="693FC92B" w14:textId="77777777" w:rsidTr="00D8036C">
        <w:tc>
          <w:tcPr>
            <w:tcW w:w="1439" w:type="dxa"/>
          </w:tcPr>
          <w:p w14:paraId="4F52E0B1"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ONIPM</w:t>
            </w:r>
          </w:p>
        </w:tc>
        <w:tc>
          <w:tcPr>
            <w:tcW w:w="7908" w:type="dxa"/>
          </w:tcPr>
          <w:p w14:paraId="3982C802"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Oficiul Național de Implementare a Proiectelor în domeniul Mediului</w:t>
            </w:r>
          </w:p>
        </w:tc>
      </w:tr>
      <w:tr w:rsidR="00D8036C" w:rsidRPr="00504C80" w14:paraId="5DD9FDD5" w14:textId="77777777" w:rsidTr="00D8036C">
        <w:tc>
          <w:tcPr>
            <w:tcW w:w="1439" w:type="dxa"/>
          </w:tcPr>
          <w:p w14:paraId="4F156BA9"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UCIMPA</w:t>
            </w:r>
          </w:p>
        </w:tc>
        <w:tc>
          <w:tcPr>
            <w:tcW w:w="7908" w:type="dxa"/>
          </w:tcPr>
          <w:p w14:paraId="03D00199"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Consolidată pentru Implementarea și Monitorizarea Proiectelor în domeniul Agriculturii</w:t>
            </w:r>
          </w:p>
        </w:tc>
      </w:tr>
      <w:tr w:rsidR="00D8036C" w:rsidRPr="00504C80" w14:paraId="0A62F94A" w14:textId="77777777" w:rsidTr="00D8036C">
        <w:tc>
          <w:tcPr>
            <w:tcW w:w="1439" w:type="dxa"/>
          </w:tcPr>
          <w:p w14:paraId="0EEBB783"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UCIMP DS</w:t>
            </w:r>
          </w:p>
        </w:tc>
        <w:tc>
          <w:tcPr>
            <w:tcW w:w="7908" w:type="dxa"/>
          </w:tcPr>
          <w:p w14:paraId="03EBDBFC"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de Coordonare, Implementare și Monitorizare a Proiectelor în Domeniul Sănătății</w:t>
            </w:r>
          </w:p>
        </w:tc>
      </w:tr>
      <w:tr w:rsidR="00D8036C" w:rsidRPr="00504C80" w14:paraId="7515C73E" w14:textId="77777777" w:rsidTr="00D8036C">
        <w:tc>
          <w:tcPr>
            <w:tcW w:w="1439" w:type="dxa"/>
          </w:tcPr>
          <w:p w14:paraId="12023BD7"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UCIMPRSVV</w:t>
            </w:r>
          </w:p>
        </w:tc>
        <w:tc>
          <w:tcPr>
            <w:tcW w:w="7908" w:type="dxa"/>
          </w:tcPr>
          <w:p w14:paraId="7ABE642B"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Consolidată pentru Implementarea și Monitorizarea Programului de Restructurare a Sectorului Vitivinicol</w:t>
            </w:r>
          </w:p>
        </w:tc>
      </w:tr>
      <w:tr w:rsidR="00D8036C" w:rsidRPr="00504C80" w14:paraId="2E49983A" w14:textId="77777777" w:rsidTr="00D8036C">
        <w:tc>
          <w:tcPr>
            <w:tcW w:w="1439" w:type="dxa"/>
          </w:tcPr>
          <w:p w14:paraId="5F899F04"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UCIPE</w:t>
            </w:r>
          </w:p>
        </w:tc>
        <w:tc>
          <w:tcPr>
            <w:tcW w:w="7908" w:type="dxa"/>
          </w:tcPr>
          <w:p w14:paraId="3DA64248"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Consolidată pentru Implementarea și Monitorizarea Proiectelor în domeniul Energeticii</w:t>
            </w:r>
          </w:p>
        </w:tc>
      </w:tr>
      <w:tr w:rsidR="00D8036C" w:rsidRPr="00504C80" w14:paraId="704569F7" w14:textId="77777777" w:rsidTr="00D8036C">
        <w:tc>
          <w:tcPr>
            <w:tcW w:w="1439" w:type="dxa"/>
          </w:tcPr>
          <w:p w14:paraId="5861BB44"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UCIP IFAD</w:t>
            </w:r>
          </w:p>
        </w:tc>
        <w:tc>
          <w:tcPr>
            <w:tcW w:w="7908" w:type="dxa"/>
          </w:tcPr>
          <w:p w14:paraId="385A0382"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Consolidată pentru Implementarea Programelor IFAD</w:t>
            </w:r>
          </w:p>
        </w:tc>
      </w:tr>
      <w:tr w:rsidR="00D8036C" w:rsidRPr="00504C80" w14:paraId="45A599FF" w14:textId="77777777" w:rsidTr="00D8036C">
        <w:tc>
          <w:tcPr>
            <w:tcW w:w="1439" w:type="dxa"/>
          </w:tcPr>
          <w:p w14:paraId="31FF1D78"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UIPAC</w:t>
            </w:r>
          </w:p>
        </w:tc>
        <w:tc>
          <w:tcPr>
            <w:tcW w:w="7908" w:type="dxa"/>
          </w:tcPr>
          <w:p w14:paraId="231A5E6F"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de Implementare a Proiectului Băncii Mondiale de Ameliorare a Competitivității</w:t>
            </w:r>
          </w:p>
        </w:tc>
      </w:tr>
      <w:tr w:rsidR="00D8036C" w:rsidRPr="00504C80" w14:paraId="523A1051" w14:textId="77777777" w:rsidTr="00D8036C">
        <w:tc>
          <w:tcPr>
            <w:tcW w:w="1439" w:type="dxa"/>
          </w:tcPr>
          <w:p w14:paraId="7D11A506"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UIPCLPSV II</w:t>
            </w:r>
          </w:p>
        </w:tc>
        <w:tc>
          <w:tcPr>
            <w:tcW w:w="7908" w:type="dxa"/>
          </w:tcPr>
          <w:p w14:paraId="28F4CBC5"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de Implementare a Proiectului de Construcție a Locuințelor pentru Păturile Socialmente Vulnerabile II</w:t>
            </w:r>
          </w:p>
        </w:tc>
      </w:tr>
      <w:tr w:rsidR="00D8036C" w:rsidRPr="00504C80" w14:paraId="5CBE2D83" w14:textId="77777777" w:rsidTr="00D8036C">
        <w:tc>
          <w:tcPr>
            <w:tcW w:w="1439" w:type="dxa"/>
          </w:tcPr>
          <w:p w14:paraId="1890E5C5"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UIPCPC</w:t>
            </w:r>
          </w:p>
        </w:tc>
        <w:tc>
          <w:tcPr>
            <w:tcW w:w="7908" w:type="dxa"/>
          </w:tcPr>
          <w:p w14:paraId="09CB7117"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Unitatea de Implementare a Proiectului de Construcție a Penitenciarului din Chișinău</w:t>
            </w:r>
          </w:p>
        </w:tc>
      </w:tr>
      <w:tr w:rsidR="00D8036C" w:rsidRPr="00504C80" w14:paraId="34FF635D" w14:textId="77777777" w:rsidTr="00D8036C">
        <w:tc>
          <w:tcPr>
            <w:tcW w:w="1439" w:type="dxa"/>
          </w:tcPr>
          <w:p w14:paraId="06E4D03D" w14:textId="77777777" w:rsidR="00D8036C" w:rsidRPr="00504C80" w:rsidRDefault="00D8036C" w:rsidP="00D8036C">
            <w:pPr>
              <w:spacing w:line="276" w:lineRule="auto"/>
              <w:rPr>
                <w:rFonts w:ascii="Times New Roman" w:hAnsi="Times New Roman" w:cs="Times New Roman"/>
                <w:b/>
                <w:bCs/>
                <w:sz w:val="18"/>
                <w:szCs w:val="18"/>
                <w:lang w:val="ro-MD"/>
              </w:rPr>
            </w:pPr>
            <w:r w:rsidRPr="00504C80">
              <w:rPr>
                <w:rFonts w:ascii="Times New Roman" w:hAnsi="Times New Roman" w:cs="Times New Roman"/>
                <w:b/>
                <w:bCs/>
                <w:sz w:val="18"/>
                <w:szCs w:val="18"/>
                <w:lang w:val="ro-MD"/>
              </w:rPr>
              <w:t>UIPFAE</w:t>
            </w:r>
          </w:p>
        </w:tc>
        <w:tc>
          <w:tcPr>
            <w:tcW w:w="7908" w:type="dxa"/>
          </w:tcPr>
          <w:p w14:paraId="131558E1" w14:textId="77777777" w:rsidR="00D8036C" w:rsidRPr="00504C80" w:rsidRDefault="00D8036C" w:rsidP="00D8036C">
            <w:pPr>
              <w:spacing w:line="276" w:lineRule="auto"/>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Unități de implementare a proiectelor finanțate din asistența externă acordată Republicii Moldova</w:t>
            </w:r>
          </w:p>
        </w:tc>
      </w:tr>
    </w:tbl>
    <w:p w14:paraId="4493C665" w14:textId="77777777" w:rsidR="00FA386E" w:rsidRPr="00483DC7" w:rsidRDefault="00FA386E" w:rsidP="00FA386E">
      <w:pPr>
        <w:pStyle w:val="Heading1"/>
        <w:rPr>
          <w:rFonts w:ascii="Times New Roman" w:hAnsi="Times New Roman" w:cs="Times New Roman"/>
          <w:b/>
          <w:color w:val="auto"/>
          <w:sz w:val="24"/>
          <w:szCs w:val="24"/>
          <w:lang w:val="ro-MD"/>
        </w:rPr>
      </w:pPr>
      <w:bookmarkStart w:id="2" w:name="_Toc185943208"/>
      <w:r w:rsidRPr="00483DC7">
        <w:rPr>
          <w:rFonts w:ascii="Times New Roman" w:hAnsi="Times New Roman" w:cs="Times New Roman"/>
          <w:b/>
          <w:color w:val="auto"/>
          <w:sz w:val="24"/>
          <w:szCs w:val="24"/>
          <w:lang w:val="ro-MD"/>
        </w:rPr>
        <w:t>GLOSAR</w:t>
      </w:r>
      <w:bookmarkEnd w:id="2"/>
    </w:p>
    <w:tbl>
      <w:tblPr>
        <w:tblStyle w:val="TableGrid"/>
        <w:tblW w:w="0" w:type="auto"/>
        <w:tblLook w:val="04A0" w:firstRow="1" w:lastRow="0" w:firstColumn="1" w:lastColumn="0" w:noHBand="0" w:noVBand="1"/>
      </w:tblPr>
      <w:tblGrid>
        <w:gridCol w:w="2830"/>
        <w:gridCol w:w="6517"/>
      </w:tblGrid>
      <w:tr w:rsidR="00FA386E" w:rsidRPr="00504C80" w14:paraId="5D611E7D" w14:textId="77777777" w:rsidTr="007A27BA">
        <w:tc>
          <w:tcPr>
            <w:tcW w:w="2830" w:type="dxa"/>
            <w:vAlign w:val="center"/>
          </w:tcPr>
          <w:p w14:paraId="742EE1D6" w14:textId="77777777" w:rsidR="00FA386E" w:rsidRPr="00504C80" w:rsidRDefault="00D8036C" w:rsidP="00E41342">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Asistență externă</w:t>
            </w:r>
          </w:p>
        </w:tc>
        <w:tc>
          <w:tcPr>
            <w:tcW w:w="6517" w:type="dxa"/>
          </w:tcPr>
          <w:p w14:paraId="459AC414" w14:textId="77777777" w:rsidR="00FA386E" w:rsidRPr="00504C80" w:rsidRDefault="00D8036C" w:rsidP="00D8036C">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Asistență financiară și tehnică acordată Republicii Moldova, Guvernului și/sau altor autorități publice de către comunitatea partenerilor externi de dezvoltare</w:t>
            </w:r>
          </w:p>
        </w:tc>
      </w:tr>
      <w:tr w:rsidR="00FA386E" w:rsidRPr="00504C80" w14:paraId="09B9443F" w14:textId="77777777" w:rsidTr="007A27BA">
        <w:tc>
          <w:tcPr>
            <w:tcW w:w="2830" w:type="dxa"/>
            <w:vAlign w:val="center"/>
          </w:tcPr>
          <w:p w14:paraId="71DB7879" w14:textId="77777777" w:rsidR="00FA386E" w:rsidRPr="00504C80" w:rsidRDefault="00D8036C" w:rsidP="00E41342">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Asistență (cooperare) financiară</w:t>
            </w:r>
          </w:p>
        </w:tc>
        <w:tc>
          <w:tcPr>
            <w:tcW w:w="6517" w:type="dxa"/>
          </w:tcPr>
          <w:p w14:paraId="0BA9BCB6" w14:textId="2A061D6A" w:rsidR="00FA386E" w:rsidRPr="00504C80" w:rsidRDefault="00D8036C" w:rsidP="00D8036C">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Suport financiar sub formă de împrumuturi, granturi, inclusiv livrări de bunuri și/sau lucrări</w:t>
            </w:r>
            <w:r w:rsidR="00D45922" w:rsidRPr="00504C80">
              <w:rPr>
                <w:rFonts w:ascii="Times New Roman" w:hAnsi="Times New Roman" w:cs="Times New Roman"/>
                <w:sz w:val="18"/>
                <w:szCs w:val="18"/>
                <w:lang w:val="ro-MD"/>
              </w:rPr>
              <w:t>,</w:t>
            </w:r>
            <w:r w:rsidRPr="00504C80">
              <w:rPr>
                <w:rFonts w:ascii="Times New Roman" w:hAnsi="Times New Roman" w:cs="Times New Roman"/>
                <w:sz w:val="18"/>
                <w:szCs w:val="18"/>
                <w:lang w:val="ro-MD"/>
              </w:rPr>
              <w:t xml:space="preserve"> pentru implementarea proiectelor/programelor</w:t>
            </w:r>
          </w:p>
        </w:tc>
      </w:tr>
      <w:tr w:rsidR="00FA386E" w:rsidRPr="00504C80" w14:paraId="0614B3EC" w14:textId="77777777" w:rsidTr="007A27BA">
        <w:tc>
          <w:tcPr>
            <w:tcW w:w="2830" w:type="dxa"/>
            <w:vAlign w:val="center"/>
          </w:tcPr>
          <w:p w14:paraId="237BEC38" w14:textId="77777777" w:rsidR="00FA386E" w:rsidRPr="00504C80" w:rsidRDefault="00D8036C" w:rsidP="00E41342">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Asistență (cooperare) tehnică</w:t>
            </w:r>
          </w:p>
        </w:tc>
        <w:tc>
          <w:tcPr>
            <w:tcW w:w="6517" w:type="dxa"/>
          </w:tcPr>
          <w:p w14:paraId="6421F72F" w14:textId="77777777" w:rsidR="00FA386E" w:rsidRPr="00504C80" w:rsidRDefault="00964DA9" w:rsidP="00D8036C">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Suport/sprijin direcționat sub formă de transfer de cunoștințe și expertiză, inclusiv tehnologii, metodologii și tehnici în cadrul proiectelor/programelor</w:t>
            </w:r>
          </w:p>
        </w:tc>
      </w:tr>
      <w:tr w:rsidR="00FA386E" w:rsidRPr="00504C80" w14:paraId="47F8D14F" w14:textId="77777777" w:rsidTr="007A27BA">
        <w:tc>
          <w:tcPr>
            <w:tcW w:w="2830" w:type="dxa"/>
            <w:vAlign w:val="center"/>
          </w:tcPr>
          <w:p w14:paraId="63472326" w14:textId="77777777" w:rsidR="00FA386E" w:rsidRPr="00504C80" w:rsidRDefault="00964DA9" w:rsidP="00E41342">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Partener extern de dezvoltare (creditor/donator)</w:t>
            </w:r>
          </w:p>
        </w:tc>
        <w:tc>
          <w:tcPr>
            <w:tcW w:w="6517" w:type="dxa"/>
          </w:tcPr>
          <w:p w14:paraId="3B1C4E68" w14:textId="554BC21D" w:rsidR="00FA386E" w:rsidRPr="00504C80" w:rsidRDefault="00964DA9" w:rsidP="00D45922">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Stat, grup de state, organizație internațională care finanțează implementarea unor proiecte/programe sau alt</w:t>
            </w:r>
            <w:r w:rsidR="00D45922" w:rsidRPr="00504C80">
              <w:rPr>
                <w:rFonts w:ascii="Times New Roman" w:hAnsi="Times New Roman" w:cs="Times New Roman"/>
                <w:sz w:val="18"/>
                <w:szCs w:val="18"/>
                <w:lang w:val="ro-MD"/>
              </w:rPr>
              <w:t>or</w:t>
            </w:r>
            <w:r w:rsidRPr="00504C80">
              <w:rPr>
                <w:rFonts w:ascii="Times New Roman" w:hAnsi="Times New Roman" w:cs="Times New Roman"/>
                <w:sz w:val="18"/>
                <w:szCs w:val="18"/>
                <w:lang w:val="ro-MD"/>
              </w:rPr>
              <w:t xml:space="preserve"> tipuri de activități</w:t>
            </w:r>
          </w:p>
        </w:tc>
      </w:tr>
      <w:tr w:rsidR="007A27BA" w:rsidRPr="00504C80" w14:paraId="70FB2F56" w14:textId="77777777" w:rsidTr="007A27BA">
        <w:tc>
          <w:tcPr>
            <w:tcW w:w="2830" w:type="dxa"/>
            <w:vAlign w:val="center"/>
          </w:tcPr>
          <w:p w14:paraId="2F82A243" w14:textId="77777777" w:rsidR="007A27BA" w:rsidRPr="00504C80" w:rsidRDefault="007A27BA" w:rsidP="007A27BA">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Program de asistență externă (program)</w:t>
            </w:r>
          </w:p>
        </w:tc>
        <w:tc>
          <w:tcPr>
            <w:tcW w:w="6517" w:type="dxa"/>
            <w:vAlign w:val="center"/>
          </w:tcPr>
          <w:p w14:paraId="4197A0A8" w14:textId="635C696D" w:rsidR="007A27BA" w:rsidRPr="00504C80" w:rsidRDefault="007A27BA" w:rsidP="00AA6BA2">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 xml:space="preserve">Serie de proiecte și/sau măsuri de politici cu un obiectiv general comun </w:t>
            </w:r>
          </w:p>
        </w:tc>
      </w:tr>
      <w:tr w:rsidR="00FA386E" w:rsidRPr="00504C80" w14:paraId="33F27CD1" w14:textId="77777777" w:rsidTr="007A27BA">
        <w:tc>
          <w:tcPr>
            <w:tcW w:w="2830" w:type="dxa"/>
            <w:vAlign w:val="center"/>
          </w:tcPr>
          <w:p w14:paraId="6F53DC11" w14:textId="77777777" w:rsidR="00FA386E" w:rsidRPr="00504C80" w:rsidRDefault="00964DA9" w:rsidP="00E41342">
            <w:pPr>
              <w:jc w:val="both"/>
              <w:rPr>
                <w:rFonts w:ascii="Times New Roman" w:hAnsi="Times New Roman" w:cs="Times New Roman"/>
                <w:i/>
                <w:sz w:val="18"/>
                <w:szCs w:val="18"/>
                <w:lang w:val="ro-MD"/>
              </w:rPr>
            </w:pPr>
            <w:r w:rsidRPr="00504C80">
              <w:rPr>
                <w:rFonts w:ascii="Times New Roman" w:hAnsi="Times New Roman" w:cs="Times New Roman"/>
                <w:i/>
                <w:sz w:val="18"/>
                <w:szCs w:val="18"/>
                <w:lang w:val="ro-MD"/>
              </w:rPr>
              <w:t>Proiect finanțat din surse externe (proiect)</w:t>
            </w:r>
          </w:p>
        </w:tc>
        <w:tc>
          <w:tcPr>
            <w:tcW w:w="6517" w:type="dxa"/>
          </w:tcPr>
          <w:p w14:paraId="7F2E72AE" w14:textId="3AEBE67A" w:rsidR="00FA386E" w:rsidRPr="00504C80" w:rsidRDefault="00964DA9" w:rsidP="00AA6BA2">
            <w:pPr>
              <w:jc w:val="both"/>
              <w:rPr>
                <w:rFonts w:ascii="Times New Roman" w:hAnsi="Times New Roman" w:cs="Times New Roman"/>
                <w:sz w:val="18"/>
                <w:szCs w:val="18"/>
                <w:lang w:val="ro-MD"/>
              </w:rPr>
            </w:pPr>
            <w:r w:rsidRPr="00504C80">
              <w:rPr>
                <w:rFonts w:ascii="Times New Roman" w:hAnsi="Times New Roman" w:cs="Times New Roman"/>
                <w:sz w:val="18"/>
                <w:szCs w:val="18"/>
                <w:lang w:val="ro-MD"/>
              </w:rPr>
              <w:t xml:space="preserve">Ansamblu de activități finanțate din granturi și/sau împrumuturi acordate Republicii Moldova, Guvernului și/sau autorităților administrației publice centrale și/sau locale de către </w:t>
            </w:r>
            <w:r w:rsidR="00E41342" w:rsidRPr="00504C80">
              <w:rPr>
                <w:rFonts w:ascii="Times New Roman" w:hAnsi="Times New Roman" w:cs="Times New Roman"/>
                <w:sz w:val="18"/>
                <w:szCs w:val="18"/>
                <w:lang w:val="ro-MD"/>
              </w:rPr>
              <w:t xml:space="preserve">partenerii externi </w:t>
            </w:r>
            <w:r w:rsidRPr="00504C80">
              <w:rPr>
                <w:rFonts w:ascii="Times New Roman" w:hAnsi="Times New Roman" w:cs="Times New Roman"/>
                <w:sz w:val="18"/>
                <w:szCs w:val="18"/>
                <w:lang w:val="ro-MD"/>
              </w:rPr>
              <w:t xml:space="preserve"> pentru atingerea unui obiectiv general și/sau</w:t>
            </w:r>
            <w:r w:rsidR="00AA6BA2" w:rsidRPr="00504C80">
              <w:rPr>
                <w:rFonts w:ascii="Times New Roman" w:hAnsi="Times New Roman" w:cs="Times New Roman"/>
                <w:sz w:val="18"/>
                <w:szCs w:val="18"/>
                <w:lang w:val="ro-MD"/>
              </w:rPr>
              <w:t xml:space="preserve"> a</w:t>
            </w:r>
            <w:r w:rsidRPr="00504C80">
              <w:rPr>
                <w:rFonts w:ascii="Times New Roman" w:hAnsi="Times New Roman" w:cs="Times New Roman"/>
                <w:sz w:val="18"/>
                <w:szCs w:val="18"/>
                <w:lang w:val="ro-MD"/>
              </w:rPr>
              <w:t xml:space="preserve"> mai mult</w:t>
            </w:r>
            <w:r w:rsidR="00AA6BA2" w:rsidRPr="00504C80">
              <w:rPr>
                <w:rFonts w:ascii="Times New Roman" w:hAnsi="Times New Roman" w:cs="Times New Roman"/>
                <w:sz w:val="18"/>
                <w:szCs w:val="18"/>
                <w:lang w:val="ro-MD"/>
              </w:rPr>
              <w:t>or</w:t>
            </w:r>
            <w:r w:rsidR="00E41342" w:rsidRPr="00504C80">
              <w:rPr>
                <w:rFonts w:ascii="Times New Roman" w:hAnsi="Times New Roman" w:cs="Times New Roman"/>
                <w:sz w:val="18"/>
                <w:szCs w:val="18"/>
                <w:lang w:val="ro-MD"/>
              </w:rPr>
              <w:t xml:space="preserve"> obiective specifice care au un buget definit, ale căror resurse sunt utilizate exclusiv pentru scopurile proiectului/programului și care au un interval de t</w:t>
            </w:r>
            <w:r w:rsidR="00AA6BA2" w:rsidRPr="00504C80">
              <w:rPr>
                <w:rFonts w:ascii="Times New Roman" w:hAnsi="Times New Roman" w:cs="Times New Roman"/>
                <w:sz w:val="18"/>
                <w:szCs w:val="18"/>
                <w:lang w:val="ro-MD"/>
              </w:rPr>
              <w:t>imp definit pentru implementare</w:t>
            </w:r>
          </w:p>
        </w:tc>
      </w:tr>
      <w:tr w:rsidR="006F3C39" w:rsidRPr="00504C80" w14:paraId="57B5D7D8" w14:textId="77777777" w:rsidTr="006F3C39">
        <w:tc>
          <w:tcPr>
            <w:tcW w:w="9347" w:type="dxa"/>
            <w:gridSpan w:val="2"/>
            <w:tcBorders>
              <w:left w:val="single" w:sz="4" w:space="0" w:color="FFFFFF" w:themeColor="background1"/>
              <w:bottom w:val="single" w:sz="4" w:space="0" w:color="FFFFFF" w:themeColor="background1"/>
              <w:right w:val="single" w:sz="4" w:space="0" w:color="FFFFFF" w:themeColor="background1"/>
            </w:tcBorders>
          </w:tcPr>
          <w:p w14:paraId="78AB1E49" w14:textId="77777777" w:rsidR="006F3C39" w:rsidRPr="00504C80" w:rsidRDefault="006F3C39" w:rsidP="006F3C39">
            <w:pPr>
              <w:jc w:val="center"/>
              <w:rPr>
                <w:rFonts w:ascii="Times New Roman" w:hAnsi="Times New Roman" w:cs="Times New Roman"/>
                <w:sz w:val="18"/>
                <w:szCs w:val="18"/>
                <w:lang w:val="ro-MD"/>
              </w:rPr>
            </w:pPr>
            <w:r w:rsidRPr="00504C80">
              <w:rPr>
                <w:rFonts w:ascii="Times New Roman" w:hAnsi="Times New Roman" w:cs="Times New Roman"/>
                <w:b/>
                <w:bCs/>
                <w:sz w:val="18"/>
                <w:szCs w:val="18"/>
                <w:lang w:val="ro-MD"/>
              </w:rPr>
              <w:t>Notă:</w:t>
            </w:r>
            <w:r w:rsidRPr="00504C80">
              <w:rPr>
                <w:rFonts w:ascii="Times New Roman" w:hAnsi="Times New Roman" w:cs="Times New Roman"/>
                <w:sz w:val="18"/>
                <w:szCs w:val="18"/>
                <w:lang w:val="ro-MD"/>
              </w:rPr>
              <w:t xml:space="preserve"> </w:t>
            </w:r>
            <w:r w:rsidRPr="00504C80">
              <w:rPr>
                <w:rFonts w:ascii="Times New Roman" w:hAnsi="Times New Roman" w:cs="Times New Roman"/>
                <w:i/>
                <w:iCs/>
                <w:sz w:val="18"/>
                <w:szCs w:val="18"/>
                <w:lang w:val="ro-MD"/>
              </w:rPr>
              <w:t>Glosarul de termeni prezentat are un rol informativ și nu produce efecte legale.</w:t>
            </w:r>
          </w:p>
        </w:tc>
      </w:tr>
    </w:tbl>
    <w:p w14:paraId="50FB7C2F" w14:textId="77777777" w:rsidR="00FA386E" w:rsidRPr="00483DC7" w:rsidRDefault="00FA386E" w:rsidP="00FA386E">
      <w:pPr>
        <w:pStyle w:val="Heading1"/>
        <w:jc w:val="center"/>
        <w:rPr>
          <w:rFonts w:ascii="Times New Roman" w:hAnsi="Times New Roman" w:cs="Times New Roman"/>
          <w:b/>
          <w:color w:val="auto"/>
          <w:sz w:val="24"/>
          <w:szCs w:val="24"/>
          <w:lang w:val="ro-MD"/>
        </w:rPr>
      </w:pPr>
      <w:bookmarkStart w:id="3" w:name="_Toc185943209"/>
      <w:r w:rsidRPr="00483DC7">
        <w:rPr>
          <w:rFonts w:ascii="Times New Roman" w:hAnsi="Times New Roman" w:cs="Times New Roman"/>
          <w:b/>
          <w:color w:val="auto"/>
          <w:sz w:val="24"/>
          <w:szCs w:val="24"/>
          <w:lang w:val="ro-MD"/>
        </w:rPr>
        <w:lastRenderedPageBreak/>
        <w:t>I. SINTEZA</w:t>
      </w:r>
      <w:bookmarkEnd w:id="3"/>
    </w:p>
    <w:p w14:paraId="5AD8096A" w14:textId="215A6F6F" w:rsidR="006B5CAA" w:rsidRPr="00483DC7" w:rsidRDefault="00B74E3D" w:rsidP="005E79A1">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Asistența externă oferită </w:t>
      </w:r>
      <w:r w:rsidR="00762C4E" w:rsidRPr="00483DC7">
        <w:rPr>
          <w:rFonts w:ascii="Times New Roman" w:hAnsi="Times New Roman" w:cs="Times New Roman"/>
          <w:sz w:val="24"/>
          <w:szCs w:val="24"/>
          <w:lang w:val="ro-MD"/>
        </w:rPr>
        <w:t>Republicii Moldova</w:t>
      </w:r>
      <w:r w:rsidRPr="00483DC7">
        <w:rPr>
          <w:rFonts w:ascii="Times New Roman" w:hAnsi="Times New Roman" w:cs="Times New Roman"/>
          <w:sz w:val="24"/>
          <w:szCs w:val="24"/>
          <w:lang w:val="ro-MD"/>
        </w:rPr>
        <w:t xml:space="preserve">, reprezintă o sursă importantă de finanțare a </w:t>
      </w:r>
      <w:r w:rsidR="00762C4E" w:rsidRPr="00483DC7">
        <w:rPr>
          <w:rFonts w:ascii="Times New Roman" w:hAnsi="Times New Roman" w:cs="Times New Roman"/>
          <w:sz w:val="24"/>
          <w:szCs w:val="24"/>
          <w:lang w:val="ro-MD"/>
        </w:rPr>
        <w:t>sectorului public</w:t>
      </w:r>
      <w:r w:rsidRPr="00483DC7">
        <w:rPr>
          <w:rFonts w:ascii="Times New Roman" w:hAnsi="Times New Roman" w:cs="Times New Roman"/>
          <w:sz w:val="24"/>
          <w:szCs w:val="24"/>
          <w:lang w:val="ro-MD"/>
        </w:rPr>
        <w:t xml:space="preserve">, </w:t>
      </w:r>
      <w:r w:rsidR="00324767">
        <w:rPr>
          <w:rFonts w:ascii="Times New Roman" w:hAnsi="Times New Roman" w:cs="Times New Roman"/>
          <w:sz w:val="24"/>
          <w:szCs w:val="24"/>
          <w:lang w:val="ro-MD"/>
        </w:rPr>
        <w:t>orientată</w:t>
      </w:r>
      <w:r w:rsidR="0038733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mare parte</w:t>
      </w:r>
      <w:r w:rsidR="0038733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pentru</w:t>
      </w:r>
      <w:r w:rsidR="00F6776C" w:rsidRPr="00483DC7">
        <w:rPr>
          <w:rFonts w:ascii="Times New Roman" w:hAnsi="Times New Roman" w:cs="Times New Roman"/>
          <w:sz w:val="24"/>
          <w:szCs w:val="24"/>
          <w:lang w:val="ro-MD"/>
        </w:rPr>
        <w:t xml:space="preserve"> atingerea obiectivelor prioritare</w:t>
      </w:r>
      <w:r w:rsidR="00762C4E" w:rsidRPr="00483DC7">
        <w:rPr>
          <w:rFonts w:ascii="Times New Roman" w:hAnsi="Times New Roman" w:cs="Times New Roman"/>
          <w:sz w:val="24"/>
          <w:szCs w:val="24"/>
          <w:lang w:val="ro-MD"/>
        </w:rPr>
        <w:t xml:space="preserve"> ale Guvernului,</w:t>
      </w:r>
      <w:r w:rsidR="006B5CAA" w:rsidRPr="00483DC7">
        <w:rPr>
          <w:rFonts w:ascii="Times New Roman" w:hAnsi="Times New Roman" w:cs="Times New Roman"/>
          <w:sz w:val="24"/>
          <w:szCs w:val="24"/>
          <w:lang w:val="ro-MD"/>
        </w:rPr>
        <w:t xml:space="preserve"> incluse în Strategia națională de dezvoltare și</w:t>
      </w:r>
      <w:r w:rsidR="00387337">
        <w:rPr>
          <w:rFonts w:ascii="Times New Roman" w:hAnsi="Times New Roman" w:cs="Times New Roman"/>
          <w:sz w:val="24"/>
          <w:szCs w:val="24"/>
          <w:lang w:val="ro-MD"/>
        </w:rPr>
        <w:t xml:space="preserve"> </w:t>
      </w:r>
      <w:r w:rsidR="00387337">
        <w:rPr>
          <w:rFonts w:ascii="Times New Roman" w:hAnsi="Times New Roman" w:cs="Times New Roman"/>
          <w:sz w:val="24"/>
          <w:szCs w:val="24"/>
          <w:lang w:val="ro-RO"/>
        </w:rPr>
        <w:t>în</w:t>
      </w:r>
      <w:r w:rsidR="006B5CAA" w:rsidRPr="00483DC7">
        <w:rPr>
          <w:rFonts w:ascii="Times New Roman" w:hAnsi="Times New Roman" w:cs="Times New Roman"/>
          <w:sz w:val="24"/>
          <w:szCs w:val="24"/>
          <w:lang w:val="ro-MD"/>
        </w:rPr>
        <w:t xml:space="preserve"> documentele de politici publice la nivel sectorial. </w:t>
      </w:r>
    </w:p>
    <w:p w14:paraId="2CEE0864" w14:textId="77777777" w:rsidR="006B5CAA" w:rsidRPr="00483DC7" w:rsidRDefault="006F3C39" w:rsidP="005E79A1">
      <w:pPr>
        <w:spacing w:after="0" w:line="276" w:lineRule="auto"/>
        <w:ind w:firstLine="709"/>
        <w:jc w:val="both"/>
        <w:rPr>
          <w:rFonts w:ascii="Times New Roman" w:hAnsi="Times New Roman" w:cs="Times New Roman"/>
          <w:bCs/>
          <w:noProof/>
          <w:sz w:val="24"/>
          <w:szCs w:val="24"/>
          <w:lang w:val="ro-MD"/>
        </w:rPr>
      </w:pPr>
      <w:r w:rsidRPr="00483DC7">
        <w:rPr>
          <w:rFonts w:ascii="Times New Roman" w:hAnsi="Times New Roman" w:cs="Times New Roman"/>
          <w:bCs/>
          <w:noProof/>
          <w:sz w:val="24"/>
          <w:szCs w:val="24"/>
          <w:lang w:val="ro-MD"/>
        </w:rPr>
        <w:t>P</w:t>
      </w:r>
      <w:r w:rsidR="00AD544E" w:rsidRPr="00483DC7">
        <w:rPr>
          <w:rFonts w:ascii="Times New Roman" w:hAnsi="Times New Roman" w:cs="Times New Roman"/>
          <w:bCs/>
          <w:noProof/>
          <w:sz w:val="24"/>
          <w:szCs w:val="24"/>
          <w:lang w:val="ro-MD"/>
        </w:rPr>
        <w:t xml:space="preserve">e parcursul anilor 2022-2023, partenerii externi de dezvoltare au debursat resurse financiare pentru sectorul public în sumă totală de circa </w:t>
      </w:r>
      <w:r w:rsidR="000169EF" w:rsidRPr="00483DC7">
        <w:rPr>
          <w:rFonts w:ascii="Times New Roman" w:hAnsi="Times New Roman" w:cs="Times New Roman"/>
          <w:bCs/>
          <w:noProof/>
          <w:sz w:val="24"/>
          <w:szCs w:val="24"/>
          <w:lang w:val="ro-MD"/>
        </w:rPr>
        <w:t xml:space="preserve">2.631,1 mil. euro, </w:t>
      </w:r>
      <w:r w:rsidRPr="00483DC7">
        <w:rPr>
          <w:rFonts w:ascii="Times New Roman" w:hAnsi="Times New Roman" w:cs="Times New Roman"/>
          <w:bCs/>
          <w:noProof/>
          <w:sz w:val="24"/>
          <w:szCs w:val="24"/>
          <w:lang w:val="ro-MD"/>
        </w:rPr>
        <w:t>inclusiv: i) finanțarea proiectelor investiționale – 792,9 mil. euro, sau 30,14 %, ii) suport bugetar – 1.220,5 mil. euro, sau 46,38 % și respectiv iii) asistență tehnică – 617,7 mil. euro, sau 23,48 %.</w:t>
      </w:r>
    </w:p>
    <w:p w14:paraId="42C4B8D9" w14:textId="77777777" w:rsidR="000169EF" w:rsidRPr="00483DC7" w:rsidRDefault="000169EF" w:rsidP="000169EF">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Potrivit HG nr.377/2018</w:t>
      </w:r>
      <w:r w:rsidRPr="00483DC7">
        <w:rPr>
          <w:rStyle w:val="FootnoteReference"/>
          <w:rFonts w:ascii="Times New Roman" w:hAnsi="Times New Roman" w:cs="Times New Roman"/>
          <w:bCs/>
          <w:sz w:val="24"/>
          <w:szCs w:val="24"/>
          <w:lang w:val="ro-MD" w:eastAsia="ru-RU"/>
        </w:rPr>
        <w:footnoteReference w:id="1"/>
      </w:r>
      <w:r w:rsidRPr="00483DC7">
        <w:rPr>
          <w:rFonts w:ascii="Times New Roman" w:hAnsi="Times New Roman" w:cs="Times New Roman"/>
          <w:bCs/>
          <w:sz w:val="24"/>
          <w:szCs w:val="24"/>
          <w:lang w:val="ro-MD" w:eastAsia="ru-RU"/>
        </w:rPr>
        <w:t xml:space="preserve"> sistemul de management al asistenței externe cuprinde 5 etape</w:t>
      </w:r>
      <w:r w:rsidRPr="00483DC7">
        <w:rPr>
          <w:rStyle w:val="FootnoteReference"/>
          <w:rFonts w:ascii="Times New Roman" w:hAnsi="Times New Roman" w:cs="Times New Roman"/>
          <w:bCs/>
          <w:sz w:val="24"/>
          <w:szCs w:val="24"/>
          <w:lang w:val="ro-MD" w:eastAsia="ru-RU"/>
        </w:rPr>
        <w:footnoteReference w:id="2"/>
      </w:r>
      <w:r w:rsidRPr="00483DC7">
        <w:rPr>
          <w:rFonts w:ascii="Times New Roman" w:hAnsi="Times New Roman" w:cs="Times New Roman"/>
          <w:bCs/>
          <w:sz w:val="24"/>
          <w:szCs w:val="24"/>
          <w:lang w:val="ro-MD" w:eastAsia="ru-RU"/>
        </w:rPr>
        <w:t>, iar pentru a asigura creșterea ratei de absorbție a asistenței externe și utilizarea eficientă a resurselor disponibile, Guvernul implică propriile instituții, sisteme și proceduri.</w:t>
      </w:r>
    </w:p>
    <w:p w14:paraId="0FF4327A" w14:textId="37E6800A" w:rsidR="006F3C39" w:rsidRPr="00483DC7" w:rsidRDefault="006F3C39" w:rsidP="000169EF">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Curtea de Conturi, recunoscând importanța strategică a asistenței externe acordată Republicii Moldova a inițiat misiunea de audit cu scopul de a evalua performanța activității unităților de coordonare, implementare și monitorizare a proiectelor finanțate </w:t>
      </w:r>
      <w:r w:rsidR="004F4E36">
        <w:rPr>
          <w:rFonts w:ascii="Times New Roman" w:hAnsi="Times New Roman" w:cs="Times New Roman"/>
          <w:bCs/>
          <w:sz w:val="24"/>
          <w:szCs w:val="24"/>
          <w:lang w:val="ro-MD" w:eastAsia="ru-RU"/>
        </w:rPr>
        <w:t>din</w:t>
      </w:r>
      <w:r w:rsidRPr="00483DC7">
        <w:rPr>
          <w:rFonts w:ascii="Times New Roman" w:hAnsi="Times New Roman" w:cs="Times New Roman"/>
          <w:bCs/>
          <w:sz w:val="24"/>
          <w:szCs w:val="24"/>
          <w:lang w:val="ro-MD" w:eastAsia="ru-RU"/>
        </w:rPr>
        <w:t xml:space="preserve"> asistență externă (în continuare</w:t>
      </w:r>
      <w:r w:rsidR="00387337">
        <w:rPr>
          <w:rFonts w:ascii="Times New Roman" w:hAnsi="Times New Roman" w:cs="Times New Roman"/>
          <w:bCs/>
          <w:sz w:val="24"/>
          <w:szCs w:val="24"/>
          <w:lang w:val="ro-MD" w:eastAsia="ru-RU"/>
        </w:rPr>
        <w:t xml:space="preserve"> – </w:t>
      </w:r>
      <w:r w:rsidRPr="00483DC7">
        <w:rPr>
          <w:rFonts w:ascii="Times New Roman" w:hAnsi="Times New Roman" w:cs="Times New Roman"/>
          <w:bCs/>
          <w:sz w:val="24"/>
          <w:szCs w:val="24"/>
          <w:lang w:val="ro-MD" w:eastAsia="ru-RU"/>
        </w:rPr>
        <w:t>UIPFAE),</w:t>
      </w:r>
      <w:r w:rsidR="00387337">
        <w:rPr>
          <w:rFonts w:ascii="Times New Roman" w:hAnsi="Times New Roman" w:cs="Times New Roman"/>
          <w:bCs/>
          <w:sz w:val="24"/>
          <w:szCs w:val="24"/>
          <w:lang w:val="ro-MD" w:eastAsia="ru-RU"/>
        </w:rPr>
        <w:t xml:space="preserve"> precum și privind utilizarea resurselor financiare alocate,</w:t>
      </w:r>
      <w:r w:rsidRPr="00483DC7">
        <w:rPr>
          <w:rFonts w:ascii="Times New Roman" w:hAnsi="Times New Roman" w:cs="Times New Roman"/>
          <w:bCs/>
          <w:sz w:val="24"/>
          <w:szCs w:val="24"/>
          <w:lang w:val="ro-MD" w:eastAsia="ru-RU"/>
        </w:rPr>
        <w:t xml:space="preserve"> cu oferirea de analize/perspective și recomandări de îmbunătățire </w:t>
      </w:r>
      <w:r w:rsidR="00387337">
        <w:rPr>
          <w:rFonts w:ascii="Times New Roman" w:hAnsi="Times New Roman" w:cs="Times New Roman"/>
          <w:bCs/>
          <w:sz w:val="24"/>
          <w:szCs w:val="24"/>
          <w:lang w:val="ro-MD" w:eastAsia="ru-RU"/>
        </w:rPr>
        <w:t>a</w:t>
      </w:r>
      <w:r w:rsidRPr="00483DC7">
        <w:rPr>
          <w:rFonts w:ascii="Times New Roman" w:hAnsi="Times New Roman" w:cs="Times New Roman"/>
          <w:bCs/>
          <w:sz w:val="24"/>
          <w:szCs w:val="24"/>
          <w:lang w:val="ro-MD" w:eastAsia="ru-RU"/>
        </w:rPr>
        <w:t xml:space="preserve"> politicilor publice </w:t>
      </w:r>
      <w:r w:rsidR="00387337">
        <w:rPr>
          <w:rFonts w:ascii="Times New Roman" w:hAnsi="Times New Roman" w:cs="Times New Roman"/>
          <w:bCs/>
          <w:sz w:val="24"/>
          <w:szCs w:val="24"/>
          <w:lang w:val="ro-MD" w:eastAsia="ru-RU"/>
        </w:rPr>
        <w:t>respective</w:t>
      </w:r>
      <w:r w:rsidRPr="00483DC7">
        <w:rPr>
          <w:rFonts w:ascii="Times New Roman" w:hAnsi="Times New Roman" w:cs="Times New Roman"/>
          <w:bCs/>
          <w:sz w:val="24"/>
          <w:szCs w:val="24"/>
          <w:lang w:val="ro-MD" w:eastAsia="ru-RU"/>
        </w:rPr>
        <w:t>.</w:t>
      </w:r>
    </w:p>
    <w:p w14:paraId="7211EA40" w14:textId="77777777" w:rsidR="000728DE" w:rsidRDefault="006F3C39" w:rsidP="000169E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Activitățile de audit desfășurate în cadrul a 12 UIPFAE, denotă că atât documentele de politici publice, cât și actele normative care reglementează procesul de organizare și funcționare a entităților auditate</w:t>
      </w:r>
      <w:r w:rsidR="00387337">
        <w:rPr>
          <w:rFonts w:ascii="Times New Roman" w:hAnsi="Times New Roman" w:cs="Times New Roman"/>
          <w:sz w:val="24"/>
          <w:szCs w:val="24"/>
          <w:lang w:val="ro-MD"/>
        </w:rPr>
        <w:t>, sunt</w:t>
      </w:r>
      <w:r w:rsidRPr="00483DC7">
        <w:rPr>
          <w:rFonts w:ascii="Times New Roman" w:hAnsi="Times New Roman" w:cs="Times New Roman"/>
          <w:sz w:val="24"/>
          <w:szCs w:val="24"/>
          <w:lang w:val="ro-MD"/>
        </w:rPr>
        <w:t xml:space="preserve"> </w:t>
      </w:r>
      <w:r w:rsidR="00387337">
        <w:rPr>
          <w:rFonts w:ascii="Times New Roman" w:hAnsi="Times New Roman" w:cs="Times New Roman"/>
          <w:sz w:val="24"/>
          <w:szCs w:val="24"/>
          <w:lang w:val="ro-MD"/>
        </w:rPr>
        <w:t>fragmentate</w:t>
      </w:r>
      <w:r w:rsidRPr="00483DC7">
        <w:rPr>
          <w:rFonts w:ascii="Times New Roman" w:hAnsi="Times New Roman" w:cs="Times New Roman"/>
          <w:sz w:val="24"/>
          <w:szCs w:val="24"/>
          <w:lang w:val="ro-MD"/>
        </w:rPr>
        <w:t xml:space="preserve"> și, în anumite aspecte, contradictori</w:t>
      </w:r>
      <w:r w:rsidR="000728DE">
        <w:rPr>
          <w:rFonts w:ascii="Times New Roman" w:hAnsi="Times New Roman" w:cs="Times New Roman"/>
          <w:sz w:val="24"/>
          <w:szCs w:val="24"/>
          <w:lang w:val="ro-MD"/>
        </w:rPr>
        <w:t>i.</w:t>
      </w:r>
    </w:p>
    <w:p w14:paraId="26413D66" w14:textId="357BCB82" w:rsidR="006F3C39" w:rsidRPr="00483DC7" w:rsidRDefault="006F3C39" w:rsidP="000169E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Aceste neconcordanțe se manifestă</w:t>
      </w:r>
      <w:r w:rsidR="000728DE">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special</w:t>
      </w:r>
      <w:r w:rsidR="000728DE">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prin:</w:t>
      </w:r>
    </w:p>
    <w:p w14:paraId="2FDD4C0B" w14:textId="49BAF68C" w:rsidR="006F3C39" w:rsidRPr="00483DC7" w:rsidRDefault="000728DE" w:rsidP="006F3C39">
      <w:pPr>
        <w:pStyle w:val="ListParagraph"/>
        <w:numPr>
          <w:ilvl w:val="0"/>
          <w:numId w:val="6"/>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6F3C39" w:rsidRPr="00483DC7">
        <w:rPr>
          <w:rFonts w:ascii="Times New Roman" w:hAnsi="Times New Roman" w:cs="Times New Roman"/>
          <w:sz w:val="24"/>
          <w:szCs w:val="24"/>
          <w:lang w:val="ro-MD"/>
        </w:rPr>
        <w:t>rezența unor inconsecvențe în regulile privind înființarea și funcționarea UIPFAE, exprimate prin utilizarea unei terminologii neuniforme la stabilirea formei organizatorico-juridice a UIPFAE, precum și prezența unor criterii neclare cu privire la monitorizare</w:t>
      </w:r>
      <w:r>
        <w:rPr>
          <w:rFonts w:ascii="Times New Roman" w:hAnsi="Times New Roman" w:cs="Times New Roman"/>
          <w:sz w:val="24"/>
          <w:szCs w:val="24"/>
          <w:lang w:val="ro-MD"/>
        </w:rPr>
        <w:t>a și evaluare</w:t>
      </w:r>
      <w:r w:rsidR="006F3C39" w:rsidRPr="00483DC7">
        <w:rPr>
          <w:rFonts w:ascii="Times New Roman" w:hAnsi="Times New Roman" w:cs="Times New Roman"/>
          <w:sz w:val="24"/>
          <w:szCs w:val="24"/>
          <w:lang w:val="ro-MD"/>
        </w:rPr>
        <w:t>a performanței activității UIPFAE. Deficiențele constatate au un impact negativ asupra activității UIPFAE, generând interpretări eronate cu privire la sarcinile, atribuțiile și responsabilitățile părților implicate în procesul de gestionare a asistenței externe;</w:t>
      </w:r>
    </w:p>
    <w:p w14:paraId="57BB219A" w14:textId="68D2D25E" w:rsidR="006F3C39" w:rsidRPr="00483DC7" w:rsidRDefault="000E55DB" w:rsidP="006F3C39">
      <w:pPr>
        <w:pStyle w:val="ListParagraph"/>
        <w:numPr>
          <w:ilvl w:val="0"/>
          <w:numId w:val="6"/>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sz w:val="24"/>
          <w:szCs w:val="24"/>
          <w:lang w:val="ro-MD"/>
        </w:rPr>
        <w:t>m</w:t>
      </w:r>
      <w:r w:rsidR="006F3C39" w:rsidRPr="00483DC7">
        <w:rPr>
          <w:rFonts w:ascii="Times New Roman" w:hAnsi="Times New Roman" w:cs="Times New Roman"/>
          <w:sz w:val="24"/>
          <w:szCs w:val="24"/>
          <w:lang w:val="ro-MD"/>
        </w:rPr>
        <w:t xml:space="preserve">onitorizarea și evaluarea activității UIPFAE </w:t>
      </w:r>
      <w:r w:rsidR="009C4E72" w:rsidRPr="00483DC7">
        <w:rPr>
          <w:rFonts w:ascii="Times New Roman" w:hAnsi="Times New Roman" w:cs="Times New Roman"/>
          <w:sz w:val="24"/>
          <w:szCs w:val="24"/>
          <w:lang w:val="ro-MD"/>
        </w:rPr>
        <w:t xml:space="preserve">s-a efectuat </w:t>
      </w:r>
      <w:r w:rsidR="006F3C39" w:rsidRPr="00483DC7">
        <w:rPr>
          <w:rFonts w:ascii="Times New Roman" w:hAnsi="Times New Roman" w:cs="Times New Roman"/>
          <w:sz w:val="24"/>
          <w:szCs w:val="24"/>
          <w:lang w:val="ro-MD"/>
        </w:rPr>
        <w:t xml:space="preserve">în baza unor indicatori de performanță care nu întrunesc în măsură deplină cerințele SMART, </w:t>
      </w:r>
      <w:r w:rsidR="009C4E72" w:rsidRPr="00483DC7">
        <w:rPr>
          <w:rFonts w:ascii="Times New Roman" w:hAnsi="Times New Roman" w:cs="Times New Roman"/>
          <w:sz w:val="24"/>
          <w:szCs w:val="24"/>
          <w:lang w:val="ro-MD"/>
        </w:rPr>
        <w:t xml:space="preserve">fapt ce influențează negativ calitatea </w:t>
      </w:r>
      <w:r w:rsidR="00291E9C" w:rsidRPr="00483DC7">
        <w:rPr>
          <w:rFonts w:ascii="Times New Roman" w:hAnsi="Times New Roman" w:cs="Times New Roman"/>
          <w:sz w:val="24"/>
          <w:szCs w:val="24"/>
          <w:lang w:val="ro-MD"/>
        </w:rPr>
        <w:t xml:space="preserve">procesului de atingere a rezultatelor planificate. </w:t>
      </w:r>
    </w:p>
    <w:p w14:paraId="41050875" w14:textId="614AFE15" w:rsidR="006F3C39" w:rsidRPr="00483DC7" w:rsidRDefault="006F3C39" w:rsidP="000169E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este de remarcat</w:t>
      </w:r>
      <w:r w:rsidR="000E55DB">
        <w:rPr>
          <w:rFonts w:ascii="Times New Roman" w:hAnsi="Times New Roman" w:cs="Times New Roman"/>
          <w:sz w:val="24"/>
          <w:szCs w:val="24"/>
          <w:lang w:val="ro-MD"/>
        </w:rPr>
        <w:t xml:space="preserve"> și</w:t>
      </w:r>
      <w:r w:rsidRPr="00483DC7">
        <w:rPr>
          <w:rFonts w:ascii="Times New Roman" w:hAnsi="Times New Roman" w:cs="Times New Roman"/>
          <w:sz w:val="24"/>
          <w:szCs w:val="24"/>
          <w:lang w:val="ro-MD"/>
        </w:rPr>
        <w:t xml:space="preserve"> faptul că, deși sistemele de control intern managerial</w:t>
      </w:r>
      <w:r w:rsidR="000E55DB">
        <w:rPr>
          <w:rFonts w:ascii="Times New Roman" w:hAnsi="Times New Roman" w:cs="Times New Roman"/>
          <w:sz w:val="24"/>
          <w:szCs w:val="24"/>
          <w:lang w:val="ro-MD"/>
        </w:rPr>
        <w:t>e implementate în cadrul UIPFAE</w:t>
      </w:r>
      <w:r w:rsidRPr="00483DC7">
        <w:rPr>
          <w:rFonts w:ascii="Times New Roman" w:hAnsi="Times New Roman" w:cs="Times New Roman"/>
          <w:sz w:val="24"/>
          <w:szCs w:val="24"/>
          <w:lang w:val="ro-MD"/>
        </w:rPr>
        <w:t xml:space="preserve"> urmau să asigure </w:t>
      </w:r>
      <w:r w:rsidR="000E55DB">
        <w:rPr>
          <w:rFonts w:ascii="Times New Roman" w:hAnsi="Times New Roman" w:cs="Times New Roman"/>
          <w:sz w:val="24"/>
          <w:szCs w:val="24"/>
          <w:lang w:val="ro-MD"/>
        </w:rPr>
        <w:t>diminuarea</w:t>
      </w:r>
      <w:r w:rsidRPr="00483DC7">
        <w:rPr>
          <w:rFonts w:ascii="Times New Roman" w:hAnsi="Times New Roman" w:cs="Times New Roman"/>
          <w:sz w:val="24"/>
          <w:szCs w:val="24"/>
          <w:lang w:val="ro-MD"/>
        </w:rPr>
        <w:t xml:space="preserve"> impactului negativ al deficiențelor admise la etapa de programare a asistenței externe, acestea au fost</w:t>
      </w:r>
      <w:r w:rsidR="000E55DB">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unele cazuri</w:t>
      </w:r>
      <w:r w:rsidR="000E55DB">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nefuncționale, fapt ce a generat nerealizarea în volum deplin a obiectivelor setate pentru UIPFAE, în special la aspectele ce țin de asigurarea utilizării econome, eficiente și eficace a resurselor alocate</w:t>
      </w:r>
      <w:r w:rsidR="00C71559">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precum și</w:t>
      </w:r>
      <w:r w:rsidR="00F323B9">
        <w:rPr>
          <w:rFonts w:ascii="Times New Roman" w:hAnsi="Times New Roman" w:cs="Times New Roman"/>
          <w:sz w:val="24"/>
          <w:szCs w:val="24"/>
          <w:lang w:val="ro-MD"/>
        </w:rPr>
        <w:t xml:space="preserve"> de</w:t>
      </w:r>
      <w:r w:rsidRPr="00483DC7">
        <w:rPr>
          <w:rFonts w:ascii="Times New Roman" w:hAnsi="Times New Roman" w:cs="Times New Roman"/>
          <w:sz w:val="24"/>
          <w:szCs w:val="24"/>
          <w:lang w:val="ro-MD"/>
        </w:rPr>
        <w:t xml:space="preserve"> obținer</w:t>
      </w:r>
      <w:r w:rsidR="00F323B9">
        <w:rPr>
          <w:rFonts w:ascii="Times New Roman" w:hAnsi="Times New Roman" w:cs="Times New Roman"/>
          <w:sz w:val="24"/>
          <w:szCs w:val="24"/>
          <w:lang w:val="ro-MD"/>
        </w:rPr>
        <w:t>e a</w:t>
      </w:r>
      <w:r w:rsidRPr="00483DC7">
        <w:rPr>
          <w:rFonts w:ascii="Times New Roman" w:hAnsi="Times New Roman" w:cs="Times New Roman"/>
          <w:sz w:val="24"/>
          <w:szCs w:val="24"/>
          <w:lang w:val="ro-MD"/>
        </w:rPr>
        <w:t xml:space="preserve"> unor rezultate pozitiv</w:t>
      </w:r>
      <w:r w:rsidR="00F323B9">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w:t>
      </w:r>
      <w:r w:rsidR="00F323B9">
        <w:rPr>
          <w:rFonts w:ascii="Times New Roman" w:hAnsi="Times New Roman" w:cs="Times New Roman"/>
          <w:sz w:val="24"/>
          <w:szCs w:val="24"/>
          <w:lang w:val="ro-MD"/>
        </w:rPr>
        <w:t>în</w:t>
      </w:r>
      <w:r w:rsidRPr="00483DC7">
        <w:rPr>
          <w:rFonts w:ascii="Times New Roman" w:hAnsi="Times New Roman" w:cs="Times New Roman"/>
          <w:sz w:val="24"/>
          <w:szCs w:val="24"/>
          <w:lang w:val="ro-MD"/>
        </w:rPr>
        <w:t xml:space="preserve"> domeniil</w:t>
      </w:r>
      <w:r w:rsidR="00F323B9">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de competență ale UIPFAE.</w:t>
      </w:r>
    </w:p>
    <w:p w14:paraId="79223F7A" w14:textId="77777777" w:rsidR="009C4E72" w:rsidRPr="00483DC7" w:rsidRDefault="009C4E72" w:rsidP="000169E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Pe baza acestor concluzii și constatări, Curtea de Conturi a înaintat 9 recomandări menite să asigure fortificarea capacităților instituționale ale entităților auditate</w:t>
      </w:r>
      <w:r w:rsidR="00195622" w:rsidRPr="00483DC7">
        <w:rPr>
          <w:rFonts w:ascii="Times New Roman" w:hAnsi="Times New Roman" w:cs="Times New Roman"/>
          <w:sz w:val="24"/>
          <w:szCs w:val="24"/>
          <w:lang w:val="ro-MD"/>
        </w:rPr>
        <w:t xml:space="preserve"> și</w:t>
      </w:r>
      <w:r w:rsidRPr="00483DC7">
        <w:rPr>
          <w:rFonts w:ascii="Times New Roman" w:hAnsi="Times New Roman" w:cs="Times New Roman"/>
          <w:sz w:val="24"/>
          <w:szCs w:val="24"/>
          <w:lang w:val="ro-MD"/>
        </w:rPr>
        <w:t xml:space="preserve"> înlăturarea punctelor slabe ale sistemului de mana</w:t>
      </w:r>
      <w:r w:rsidR="00195622" w:rsidRPr="00483DC7">
        <w:rPr>
          <w:rFonts w:ascii="Times New Roman" w:hAnsi="Times New Roman" w:cs="Times New Roman"/>
          <w:sz w:val="24"/>
          <w:szCs w:val="24"/>
          <w:lang w:val="ro-MD"/>
        </w:rPr>
        <w:t xml:space="preserve">gement al asistenței externe per ansamblu. </w:t>
      </w:r>
    </w:p>
    <w:p w14:paraId="31EA1665" w14:textId="78C85A3A" w:rsidR="000169EF" w:rsidRPr="00483DC7" w:rsidRDefault="006F3C39" w:rsidP="00195622">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sz w:val="24"/>
          <w:szCs w:val="24"/>
          <w:lang w:val="ro-MD"/>
        </w:rPr>
        <w:t>Constatările, concluziile și recomandările de audit, enunțate în prezentul Raport, au fost comunicate și discutate în prealabil cu conducerea entităților auditate. Drept rezultat, entitățile au prezentat argumentele lor asupra constatărilor și recomandărilor de audit care, după caz, au fost luate în considerare la definitivarea Raportului de audit.</w:t>
      </w:r>
      <w:r w:rsidR="000169EF" w:rsidRPr="00483DC7">
        <w:rPr>
          <w:rFonts w:ascii="Times New Roman" w:hAnsi="Times New Roman" w:cs="Times New Roman"/>
          <w:b/>
          <w:sz w:val="24"/>
          <w:szCs w:val="24"/>
          <w:lang w:val="ro-MD"/>
        </w:rPr>
        <w:br w:type="page"/>
      </w:r>
    </w:p>
    <w:p w14:paraId="7C69E9E5" w14:textId="77777777" w:rsidR="00B74E3D" w:rsidRPr="00483DC7" w:rsidRDefault="00B74E3D" w:rsidP="00B74E3D">
      <w:pPr>
        <w:pStyle w:val="Heading1"/>
        <w:jc w:val="center"/>
        <w:rPr>
          <w:rFonts w:ascii="Times New Roman" w:hAnsi="Times New Roman" w:cs="Times New Roman"/>
          <w:b/>
          <w:color w:val="auto"/>
          <w:sz w:val="24"/>
          <w:szCs w:val="24"/>
          <w:lang w:val="ro-MD"/>
        </w:rPr>
      </w:pPr>
      <w:bookmarkStart w:id="4" w:name="_Toc185943210"/>
      <w:r w:rsidRPr="00483DC7">
        <w:rPr>
          <w:rFonts w:ascii="Times New Roman" w:hAnsi="Times New Roman" w:cs="Times New Roman"/>
          <w:b/>
          <w:color w:val="auto"/>
          <w:sz w:val="24"/>
          <w:szCs w:val="24"/>
          <w:lang w:val="ro-MD"/>
        </w:rPr>
        <w:lastRenderedPageBreak/>
        <w:t>II. PREZENTAREA GENERALĂ</w:t>
      </w:r>
      <w:bookmarkEnd w:id="4"/>
    </w:p>
    <w:p w14:paraId="063EE1CB" w14:textId="77777777" w:rsidR="00B74E3D" w:rsidRPr="00483DC7" w:rsidRDefault="00B67BD7" w:rsidP="00B67BD7">
      <w:pPr>
        <w:pStyle w:val="Heading2"/>
        <w:rPr>
          <w:rFonts w:ascii="Times New Roman" w:hAnsi="Times New Roman" w:cs="Times New Roman"/>
          <w:b/>
          <w:sz w:val="24"/>
          <w:szCs w:val="24"/>
          <w:lang w:val="ro-MD"/>
        </w:rPr>
      </w:pPr>
      <w:bookmarkStart w:id="5" w:name="_Toc185943211"/>
      <w:r w:rsidRPr="00483DC7">
        <w:rPr>
          <w:rFonts w:ascii="Times New Roman" w:hAnsi="Times New Roman" w:cs="Times New Roman"/>
          <w:b/>
          <w:color w:val="auto"/>
          <w:sz w:val="24"/>
          <w:szCs w:val="24"/>
          <w:lang w:val="ro-MD"/>
        </w:rPr>
        <w:t>2.1. Tema și motivele auditului</w:t>
      </w:r>
      <w:bookmarkEnd w:id="5"/>
    </w:p>
    <w:p w14:paraId="3568D5EE" w14:textId="7B356480" w:rsidR="00B67BD7" w:rsidRPr="00483DC7" w:rsidRDefault="00B67BD7" w:rsidP="00A00913">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sz w:val="24"/>
          <w:szCs w:val="24"/>
          <w:lang w:val="ro-MD"/>
        </w:rPr>
        <w:t>Asistența externă este acordată de către partenerii de dezvoltare a Republicii Moldova în baza tratatelor internaționale și a acordurilor de cooperare, semnate de către instituțiile publice naționale cu organizațiile internaționale/instituțiile similare din statele lumii, în vederea obținerii unor avantaje reciproce în urma acestui exercițiu. În aceste condiții, volumul asistenței externe acordate este influențat direct de gradul de executare a angajamentelor asumate de către instituțiile publice naționale pe plan internațional, în special la aspectele ce țin de respectarea bugetului, termen</w:t>
      </w:r>
      <w:r w:rsidR="00FD7C7A">
        <w:rPr>
          <w:rFonts w:ascii="Times New Roman" w:hAnsi="Times New Roman" w:cs="Times New Roman"/>
          <w:sz w:val="24"/>
          <w:szCs w:val="24"/>
          <w:lang w:val="ro-MD"/>
        </w:rPr>
        <w:t>e</w:t>
      </w:r>
      <w:r w:rsidRPr="00483DC7">
        <w:rPr>
          <w:rFonts w:ascii="Times New Roman" w:hAnsi="Times New Roman" w:cs="Times New Roman"/>
          <w:sz w:val="24"/>
          <w:szCs w:val="24"/>
          <w:lang w:val="ro-MD"/>
        </w:rPr>
        <w:t>lor de implementare și a rezultatelor planificate pentru fiecare proiect separat.</w:t>
      </w:r>
    </w:p>
    <w:p w14:paraId="11E3D33F" w14:textId="04DAAEF7" w:rsidR="009779C9" w:rsidRPr="00483DC7" w:rsidRDefault="009779C9" w:rsidP="00A00913">
      <w:pPr>
        <w:spacing w:after="0" w:line="276" w:lineRule="auto"/>
        <w:ind w:firstLine="709"/>
        <w:jc w:val="both"/>
        <w:rPr>
          <w:rFonts w:ascii="Times New Roman" w:hAnsi="Times New Roman" w:cs="Times New Roman"/>
          <w:bCs/>
          <w:noProof/>
          <w:sz w:val="24"/>
          <w:szCs w:val="24"/>
          <w:lang w:val="ro-MD"/>
        </w:rPr>
      </w:pPr>
      <w:r w:rsidRPr="00483DC7">
        <w:rPr>
          <w:rFonts w:ascii="Times New Roman" w:hAnsi="Times New Roman" w:cs="Times New Roman"/>
          <w:bCs/>
          <w:noProof/>
          <w:sz w:val="24"/>
          <w:szCs w:val="24"/>
          <w:lang w:val="ro-MD"/>
        </w:rPr>
        <w:t>Potrivit Rapoartelor anuale privind asistența externă oferită Republicii Moldova</w:t>
      </w:r>
      <w:r w:rsidRPr="00483DC7">
        <w:rPr>
          <w:rStyle w:val="FootnoteReference"/>
          <w:rFonts w:ascii="Times New Roman" w:hAnsi="Times New Roman" w:cs="Times New Roman"/>
          <w:bCs/>
          <w:sz w:val="24"/>
          <w:szCs w:val="24"/>
          <w:lang w:val="ro-MD" w:eastAsia="ru-RU"/>
        </w:rPr>
        <w:footnoteReference w:id="3"/>
      </w:r>
      <w:r w:rsidRPr="00483DC7">
        <w:rPr>
          <w:rFonts w:ascii="Times New Roman" w:hAnsi="Times New Roman" w:cs="Times New Roman"/>
          <w:bCs/>
          <w:noProof/>
          <w:sz w:val="24"/>
          <w:szCs w:val="24"/>
          <w:lang w:val="ro-MD"/>
        </w:rPr>
        <w:t>, pe parcursul anilor 2022-2023, partenerii externi de dezvoltare au debursat resurse financiare pentru sectorul public în sumă totală de circa 2.631,1 mil. euro, inclusiv: i) finanțarea proiectelor investiționale – 792,9 mil. euro,</w:t>
      </w:r>
      <w:r w:rsidR="00A00913" w:rsidRPr="00483DC7">
        <w:rPr>
          <w:rFonts w:ascii="Times New Roman" w:hAnsi="Times New Roman" w:cs="Times New Roman"/>
          <w:bCs/>
          <w:noProof/>
          <w:sz w:val="24"/>
          <w:szCs w:val="24"/>
          <w:lang w:val="ro-MD"/>
        </w:rPr>
        <w:t xml:space="preserve"> sau 30,14 %,</w:t>
      </w:r>
      <w:r w:rsidRPr="00483DC7">
        <w:rPr>
          <w:rFonts w:ascii="Times New Roman" w:hAnsi="Times New Roman" w:cs="Times New Roman"/>
          <w:bCs/>
          <w:noProof/>
          <w:sz w:val="24"/>
          <w:szCs w:val="24"/>
          <w:lang w:val="ro-MD"/>
        </w:rPr>
        <w:t xml:space="preserve"> ii) suport bugetar – 1.220,5 mil. euro</w:t>
      </w:r>
      <w:r w:rsidR="00A00913" w:rsidRPr="00483DC7">
        <w:rPr>
          <w:rFonts w:ascii="Times New Roman" w:hAnsi="Times New Roman" w:cs="Times New Roman"/>
          <w:bCs/>
          <w:noProof/>
          <w:sz w:val="24"/>
          <w:szCs w:val="24"/>
          <w:lang w:val="ro-MD"/>
        </w:rPr>
        <w:t>, sau 46,39 %</w:t>
      </w:r>
      <w:r w:rsidRPr="00483DC7">
        <w:rPr>
          <w:rFonts w:ascii="Times New Roman" w:hAnsi="Times New Roman" w:cs="Times New Roman"/>
          <w:bCs/>
          <w:noProof/>
          <w:sz w:val="24"/>
          <w:szCs w:val="24"/>
          <w:lang w:val="ro-MD"/>
        </w:rPr>
        <w:t xml:space="preserve"> și</w:t>
      </w:r>
      <w:r w:rsidR="00FD7C7A">
        <w:rPr>
          <w:rFonts w:ascii="Times New Roman" w:hAnsi="Times New Roman" w:cs="Times New Roman"/>
          <w:bCs/>
          <w:noProof/>
          <w:sz w:val="24"/>
          <w:szCs w:val="24"/>
          <w:lang w:val="ro-MD"/>
        </w:rPr>
        <w:t>,</w:t>
      </w:r>
      <w:r w:rsidRPr="00483DC7">
        <w:rPr>
          <w:rFonts w:ascii="Times New Roman" w:hAnsi="Times New Roman" w:cs="Times New Roman"/>
          <w:bCs/>
          <w:noProof/>
          <w:sz w:val="24"/>
          <w:szCs w:val="24"/>
          <w:lang w:val="ro-MD"/>
        </w:rPr>
        <w:t xml:space="preserve"> respectiv</w:t>
      </w:r>
      <w:r w:rsidR="00FD7C7A">
        <w:rPr>
          <w:rFonts w:ascii="Times New Roman" w:hAnsi="Times New Roman" w:cs="Times New Roman"/>
          <w:bCs/>
          <w:noProof/>
          <w:sz w:val="24"/>
          <w:szCs w:val="24"/>
          <w:lang w:val="ro-MD"/>
        </w:rPr>
        <w:t>,</w:t>
      </w:r>
      <w:r w:rsidRPr="00483DC7">
        <w:rPr>
          <w:rFonts w:ascii="Times New Roman" w:hAnsi="Times New Roman" w:cs="Times New Roman"/>
          <w:bCs/>
          <w:noProof/>
          <w:sz w:val="24"/>
          <w:szCs w:val="24"/>
          <w:lang w:val="ro-MD"/>
        </w:rPr>
        <w:t xml:space="preserve"> iii) asistență tehnică – 617,7 mil. euro</w:t>
      </w:r>
      <w:r w:rsidR="00A00913" w:rsidRPr="00483DC7">
        <w:rPr>
          <w:rFonts w:ascii="Times New Roman" w:hAnsi="Times New Roman" w:cs="Times New Roman"/>
          <w:bCs/>
          <w:noProof/>
          <w:sz w:val="24"/>
          <w:szCs w:val="24"/>
          <w:lang w:val="ro-MD"/>
        </w:rPr>
        <w:t>, sau 23,48 %.</w:t>
      </w:r>
    </w:p>
    <w:p w14:paraId="6C2BCBCF" w14:textId="6378967E" w:rsidR="009779C9" w:rsidRPr="00483DC7" w:rsidRDefault="009779C9" w:rsidP="009779C9">
      <w:pPr>
        <w:spacing w:before="240" w:after="0" w:line="276" w:lineRule="auto"/>
        <w:ind w:firstLine="709"/>
        <w:jc w:val="right"/>
        <w:rPr>
          <w:rFonts w:ascii="Times New Roman" w:hAnsi="Times New Roman" w:cs="Times New Roman"/>
          <w:b/>
          <w:bCs/>
          <w:noProof/>
          <w:sz w:val="20"/>
          <w:szCs w:val="20"/>
          <w:lang w:val="ro-MD"/>
        </w:rPr>
      </w:pPr>
      <w:r w:rsidRPr="00483DC7">
        <w:rPr>
          <w:rFonts w:ascii="Times New Roman" w:hAnsi="Times New Roman" w:cs="Times New Roman"/>
          <w:b/>
          <w:bCs/>
          <w:noProof/>
          <w:sz w:val="20"/>
          <w:szCs w:val="20"/>
          <w:lang w:val="ro-MD"/>
        </w:rPr>
        <w:t>Figura nr.1: Volumul asistenței externe debursate pentru sectorul public în anii 2022-2023.</w:t>
      </w:r>
    </w:p>
    <w:p w14:paraId="6736BFAE" w14:textId="68BBD3F9" w:rsidR="009779C9" w:rsidRPr="00483DC7" w:rsidRDefault="002D3521" w:rsidP="002D3521">
      <w:pPr>
        <w:spacing w:after="0" w:line="276" w:lineRule="auto"/>
        <w:rPr>
          <w:rFonts w:ascii="Times New Roman" w:hAnsi="Times New Roman" w:cs="Times New Roman"/>
          <w:b/>
          <w:bCs/>
          <w:noProof/>
          <w:sz w:val="20"/>
          <w:szCs w:val="20"/>
          <w:lang w:val="ro-MD"/>
        </w:rPr>
      </w:pPr>
      <w:r w:rsidRPr="00483DC7">
        <w:rPr>
          <w:rFonts w:ascii="Times New Roman" w:hAnsi="Times New Roman" w:cs="Times New Roman"/>
          <w:b/>
          <w:bCs/>
          <w:noProof/>
          <w:sz w:val="20"/>
          <w:szCs w:val="20"/>
        </w:rPr>
        <w:drawing>
          <wp:inline distT="0" distB="0" distL="0" distR="0" wp14:anchorId="70091149" wp14:editId="01388EE5">
            <wp:extent cx="5920740" cy="1981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645D3D" w14:textId="77777777" w:rsidR="009779C9" w:rsidRPr="00483DC7" w:rsidRDefault="009779C9" w:rsidP="009779C9">
      <w:pPr>
        <w:spacing w:line="276" w:lineRule="auto"/>
        <w:ind w:firstLine="709"/>
        <w:jc w:val="center"/>
        <w:rPr>
          <w:rFonts w:ascii="Times New Roman" w:hAnsi="Times New Roman" w:cs="Times New Roman"/>
          <w:i/>
          <w:sz w:val="20"/>
          <w:szCs w:val="20"/>
          <w:lang w:val="ro-MD"/>
        </w:rPr>
      </w:pPr>
      <w:r w:rsidRPr="00483DC7">
        <w:rPr>
          <w:rFonts w:ascii="Times New Roman" w:hAnsi="Times New Roman" w:cs="Times New Roman"/>
          <w:i/>
          <w:sz w:val="20"/>
          <w:szCs w:val="20"/>
          <w:lang w:val="ro-MD"/>
        </w:rPr>
        <w:t>Sursa: Rapoartele anuale privind asistența externă oferită Republicii Moldova în anii 2022 și 2023</w:t>
      </w:r>
    </w:p>
    <w:p w14:paraId="2451C1BD" w14:textId="6D047A77" w:rsidR="00E2592B" w:rsidRPr="00483DC7" w:rsidRDefault="00F306D7" w:rsidP="00FE2E3F">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Auditul denotă o creștere în anul 2023</w:t>
      </w:r>
      <w:r w:rsidR="00FD7C7A">
        <w:rPr>
          <w:rFonts w:ascii="Times New Roman" w:hAnsi="Times New Roman" w:cs="Times New Roman"/>
          <w:bCs/>
          <w:sz w:val="24"/>
          <w:szCs w:val="24"/>
          <w:lang w:val="ro-MD" w:eastAsia="ru-RU"/>
        </w:rPr>
        <w:t>,</w:t>
      </w:r>
      <w:r w:rsidRPr="00483DC7">
        <w:rPr>
          <w:rFonts w:ascii="Times New Roman" w:hAnsi="Times New Roman" w:cs="Times New Roman"/>
          <w:bCs/>
          <w:sz w:val="24"/>
          <w:szCs w:val="24"/>
          <w:lang w:val="ro-MD" w:eastAsia="ru-RU"/>
        </w:rPr>
        <w:t xml:space="preserve"> față de anul 2022</w:t>
      </w:r>
      <w:r w:rsidR="00FD7C7A">
        <w:rPr>
          <w:rFonts w:ascii="Times New Roman" w:hAnsi="Times New Roman" w:cs="Times New Roman"/>
          <w:bCs/>
          <w:sz w:val="24"/>
          <w:szCs w:val="24"/>
          <w:lang w:val="ro-MD" w:eastAsia="ru-RU"/>
        </w:rPr>
        <w:t>,</w:t>
      </w:r>
      <w:r w:rsidRPr="00483DC7">
        <w:rPr>
          <w:rFonts w:ascii="Times New Roman" w:hAnsi="Times New Roman" w:cs="Times New Roman"/>
          <w:bCs/>
          <w:sz w:val="24"/>
          <w:szCs w:val="24"/>
          <w:lang w:val="ro-MD" w:eastAsia="ru-RU"/>
        </w:rPr>
        <w:t xml:space="preserve"> a volumului asistenței externe direcționate pentru: asistența tehnică – de la 140,2 mil. euro la 477,5 mil. euro, sau </w:t>
      </w:r>
      <w:r w:rsidR="00E2592B" w:rsidRPr="00483DC7">
        <w:rPr>
          <w:rFonts w:ascii="Times New Roman" w:hAnsi="Times New Roman" w:cs="Times New Roman"/>
          <w:bCs/>
          <w:sz w:val="24"/>
          <w:szCs w:val="24"/>
          <w:lang w:val="ro-MD" w:eastAsia="ru-RU"/>
        </w:rPr>
        <w:t xml:space="preserve">240,60 </w:t>
      </w:r>
      <w:r w:rsidRPr="00483DC7">
        <w:rPr>
          <w:rFonts w:ascii="Times New Roman" w:hAnsi="Times New Roman" w:cs="Times New Roman"/>
          <w:bCs/>
          <w:sz w:val="24"/>
          <w:szCs w:val="24"/>
          <w:lang w:val="ro-MD" w:eastAsia="ru-RU"/>
        </w:rPr>
        <w:t xml:space="preserve">%, suportul bugetar – de la 475,2 mil. euro la 745,3 mil. euro, sau </w:t>
      </w:r>
      <w:r w:rsidR="00E2592B" w:rsidRPr="00483DC7">
        <w:rPr>
          <w:rFonts w:ascii="Times New Roman" w:hAnsi="Times New Roman" w:cs="Times New Roman"/>
          <w:bCs/>
          <w:sz w:val="24"/>
          <w:szCs w:val="24"/>
          <w:lang w:val="ro-MD" w:eastAsia="ru-RU"/>
        </w:rPr>
        <w:t xml:space="preserve">56,84 </w:t>
      </w:r>
      <w:r w:rsidRPr="00483DC7">
        <w:rPr>
          <w:rFonts w:ascii="Times New Roman" w:hAnsi="Times New Roman" w:cs="Times New Roman"/>
          <w:bCs/>
          <w:sz w:val="24"/>
          <w:szCs w:val="24"/>
          <w:lang w:val="ro-MD" w:eastAsia="ru-RU"/>
        </w:rPr>
        <w:t xml:space="preserve">%, precum și pentru finanțarea proiectelor investiționale – de la 368,1 mil. euro la 424,8 mil. euro, sau </w:t>
      </w:r>
      <w:r w:rsidR="00E2592B" w:rsidRPr="00483DC7">
        <w:rPr>
          <w:rFonts w:ascii="Times New Roman" w:hAnsi="Times New Roman" w:cs="Times New Roman"/>
          <w:bCs/>
          <w:sz w:val="24"/>
          <w:szCs w:val="24"/>
          <w:lang w:val="ro-MD" w:eastAsia="ru-RU"/>
        </w:rPr>
        <w:t>15,40</w:t>
      </w:r>
      <w:r w:rsidRPr="00483DC7">
        <w:rPr>
          <w:rFonts w:ascii="Times New Roman" w:hAnsi="Times New Roman" w:cs="Times New Roman"/>
          <w:bCs/>
          <w:sz w:val="24"/>
          <w:szCs w:val="24"/>
          <w:lang w:val="ro-MD" w:eastAsia="ru-RU"/>
        </w:rPr>
        <w:t xml:space="preserve">%. </w:t>
      </w:r>
    </w:p>
    <w:p w14:paraId="773345EA" w14:textId="1447300D" w:rsidR="00F306D7" w:rsidRPr="00483DC7" w:rsidRDefault="00E2592B" w:rsidP="004F0428">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Astfel, în perioada de referință se atestă o tendință de direcționare a asistenței externe spre finanțarea priorităților Guvernului pe termen scurt, </w:t>
      </w:r>
      <w:r w:rsidR="00583145" w:rsidRPr="00483DC7">
        <w:rPr>
          <w:rFonts w:ascii="Times New Roman" w:hAnsi="Times New Roman" w:cs="Times New Roman"/>
          <w:bCs/>
          <w:sz w:val="24"/>
          <w:szCs w:val="24"/>
          <w:lang w:val="ro-MD" w:eastAsia="ru-RU"/>
        </w:rPr>
        <w:t>în special la aspectele ce țin de</w:t>
      </w:r>
      <w:r w:rsidRPr="00483DC7">
        <w:rPr>
          <w:rFonts w:ascii="Times New Roman" w:hAnsi="Times New Roman" w:cs="Times New Roman"/>
          <w:bCs/>
          <w:sz w:val="24"/>
          <w:szCs w:val="24"/>
          <w:lang w:val="ro-MD" w:eastAsia="ru-RU"/>
        </w:rPr>
        <w:t xml:space="preserve"> dezvoltarea </w:t>
      </w:r>
      <w:r w:rsidR="00FD7C7A">
        <w:rPr>
          <w:rFonts w:ascii="Times New Roman" w:hAnsi="Times New Roman" w:cs="Times New Roman"/>
          <w:bCs/>
          <w:sz w:val="24"/>
          <w:szCs w:val="24"/>
          <w:lang w:val="ro-MD" w:eastAsia="ru-RU"/>
        </w:rPr>
        <w:t>capacităților</w:t>
      </w:r>
      <w:r w:rsidRPr="00483DC7">
        <w:rPr>
          <w:rFonts w:ascii="Times New Roman" w:hAnsi="Times New Roman" w:cs="Times New Roman"/>
          <w:bCs/>
          <w:sz w:val="24"/>
          <w:szCs w:val="24"/>
          <w:lang w:val="ro-MD" w:eastAsia="ru-RU"/>
        </w:rPr>
        <w:t xml:space="preserve"> instituționale a</w:t>
      </w:r>
      <w:r w:rsidR="00B15427" w:rsidRPr="00483DC7">
        <w:rPr>
          <w:rFonts w:ascii="Times New Roman" w:hAnsi="Times New Roman" w:cs="Times New Roman"/>
          <w:bCs/>
          <w:sz w:val="24"/>
          <w:szCs w:val="24"/>
          <w:lang w:val="ro-MD" w:eastAsia="ru-RU"/>
        </w:rPr>
        <w:t>le</w:t>
      </w:r>
      <w:r w:rsidRPr="00483DC7">
        <w:rPr>
          <w:rFonts w:ascii="Times New Roman" w:hAnsi="Times New Roman" w:cs="Times New Roman"/>
          <w:bCs/>
          <w:sz w:val="24"/>
          <w:szCs w:val="24"/>
          <w:lang w:val="ro-MD" w:eastAsia="ru-RU"/>
        </w:rPr>
        <w:t xml:space="preserve"> entităților publice, prin transferul de cunoștințe </w:t>
      </w:r>
      <w:r w:rsidR="00B15427" w:rsidRPr="00483DC7">
        <w:rPr>
          <w:rFonts w:ascii="Times New Roman" w:hAnsi="Times New Roman" w:cs="Times New Roman"/>
          <w:bCs/>
          <w:sz w:val="24"/>
          <w:szCs w:val="24"/>
          <w:lang w:val="ro-MD" w:eastAsia="ru-RU"/>
        </w:rPr>
        <w:t>și expertiză de la partenerii</w:t>
      </w:r>
      <w:r w:rsidR="004F0428" w:rsidRPr="00483DC7">
        <w:rPr>
          <w:rFonts w:ascii="Times New Roman" w:hAnsi="Times New Roman" w:cs="Times New Roman"/>
          <w:bCs/>
          <w:sz w:val="24"/>
          <w:szCs w:val="24"/>
          <w:lang w:val="ro-MD" w:eastAsia="ru-RU"/>
        </w:rPr>
        <w:t xml:space="preserve"> externi</w:t>
      </w:r>
      <w:r w:rsidR="00B15427" w:rsidRPr="00483DC7">
        <w:rPr>
          <w:rFonts w:ascii="Times New Roman" w:hAnsi="Times New Roman" w:cs="Times New Roman"/>
          <w:bCs/>
          <w:sz w:val="24"/>
          <w:szCs w:val="24"/>
          <w:lang w:val="ro-MD" w:eastAsia="ru-RU"/>
        </w:rPr>
        <w:t xml:space="preserve"> de dezvoltare, precum și acoperirea cheltuielilor curente din contul suportului bugetar</w:t>
      </w:r>
      <w:r w:rsidR="00FE2E3F" w:rsidRPr="00483DC7">
        <w:rPr>
          <w:rFonts w:ascii="Times New Roman" w:hAnsi="Times New Roman" w:cs="Times New Roman"/>
          <w:bCs/>
          <w:sz w:val="24"/>
          <w:szCs w:val="24"/>
          <w:lang w:val="ro-MD" w:eastAsia="ru-RU"/>
        </w:rPr>
        <w:t xml:space="preserve"> extern</w:t>
      </w:r>
      <w:r w:rsidR="00B15427" w:rsidRPr="00483DC7">
        <w:rPr>
          <w:rFonts w:ascii="Times New Roman" w:hAnsi="Times New Roman" w:cs="Times New Roman"/>
          <w:bCs/>
          <w:sz w:val="24"/>
          <w:szCs w:val="24"/>
          <w:lang w:val="ro-MD" w:eastAsia="ru-RU"/>
        </w:rPr>
        <w:t>. În același timp</w:t>
      </w:r>
      <w:r w:rsidR="004F0428" w:rsidRPr="00483DC7">
        <w:rPr>
          <w:rFonts w:ascii="Times New Roman" w:hAnsi="Times New Roman" w:cs="Times New Roman"/>
          <w:bCs/>
          <w:sz w:val="24"/>
          <w:szCs w:val="24"/>
          <w:lang w:val="ro-MD" w:eastAsia="ru-RU"/>
        </w:rPr>
        <w:t xml:space="preserve">, </w:t>
      </w:r>
      <w:r w:rsidR="00B15427" w:rsidRPr="00483DC7">
        <w:rPr>
          <w:rFonts w:ascii="Times New Roman" w:hAnsi="Times New Roman" w:cs="Times New Roman"/>
          <w:bCs/>
          <w:sz w:val="24"/>
          <w:szCs w:val="24"/>
          <w:lang w:val="ro-MD" w:eastAsia="ru-RU"/>
        </w:rPr>
        <w:t>finanțarea proiectelor investiționale</w:t>
      </w:r>
      <w:r w:rsidR="00CE2EF9" w:rsidRPr="00483DC7">
        <w:rPr>
          <w:rFonts w:ascii="Times New Roman" w:hAnsi="Times New Roman" w:cs="Times New Roman"/>
          <w:bCs/>
          <w:sz w:val="24"/>
          <w:szCs w:val="24"/>
          <w:lang w:val="ro-MD" w:eastAsia="ru-RU"/>
        </w:rPr>
        <w:t>, care a înregistrat cea mai modestă creștere,</w:t>
      </w:r>
      <w:r w:rsidR="00B15427" w:rsidRPr="00483DC7">
        <w:rPr>
          <w:rFonts w:ascii="Times New Roman" w:hAnsi="Times New Roman" w:cs="Times New Roman"/>
          <w:bCs/>
          <w:sz w:val="24"/>
          <w:szCs w:val="24"/>
          <w:lang w:val="ro-MD" w:eastAsia="ru-RU"/>
        </w:rPr>
        <w:t xml:space="preserve"> </w:t>
      </w:r>
      <w:r w:rsidR="00187792" w:rsidRPr="00483DC7">
        <w:rPr>
          <w:rFonts w:ascii="Times New Roman" w:hAnsi="Times New Roman" w:cs="Times New Roman"/>
          <w:bCs/>
          <w:sz w:val="24"/>
          <w:szCs w:val="24"/>
          <w:lang w:val="ro-MD" w:eastAsia="ru-RU"/>
        </w:rPr>
        <w:t xml:space="preserve">țintește progresul </w:t>
      </w:r>
      <w:r w:rsidR="007224F7" w:rsidRPr="00483DC7">
        <w:rPr>
          <w:rFonts w:ascii="Times New Roman" w:hAnsi="Times New Roman" w:cs="Times New Roman"/>
          <w:bCs/>
          <w:sz w:val="24"/>
          <w:szCs w:val="24"/>
          <w:lang w:val="ro-MD" w:eastAsia="ru-RU"/>
        </w:rPr>
        <w:t xml:space="preserve">pe termen lung, </w:t>
      </w:r>
      <w:r w:rsidR="00187792" w:rsidRPr="00483DC7">
        <w:rPr>
          <w:rFonts w:ascii="Times New Roman" w:hAnsi="Times New Roman" w:cs="Times New Roman"/>
          <w:bCs/>
          <w:sz w:val="24"/>
          <w:szCs w:val="24"/>
          <w:lang w:val="ro-MD" w:eastAsia="ru-RU"/>
        </w:rPr>
        <w:t>contribuind direct la</w:t>
      </w:r>
      <w:r w:rsidR="00F75D60" w:rsidRPr="00483DC7">
        <w:rPr>
          <w:rFonts w:ascii="Times New Roman" w:hAnsi="Times New Roman" w:cs="Times New Roman"/>
          <w:bCs/>
          <w:sz w:val="24"/>
          <w:szCs w:val="24"/>
          <w:lang w:val="ro-MD" w:eastAsia="ru-RU"/>
        </w:rPr>
        <w:t xml:space="preserve"> </w:t>
      </w:r>
      <w:r w:rsidR="00187792" w:rsidRPr="00483DC7">
        <w:rPr>
          <w:rFonts w:ascii="Times New Roman" w:hAnsi="Times New Roman" w:cs="Times New Roman"/>
          <w:bCs/>
          <w:sz w:val="24"/>
          <w:szCs w:val="24"/>
          <w:lang w:val="ro-MD" w:eastAsia="ru-RU"/>
        </w:rPr>
        <w:t>modernizarea</w:t>
      </w:r>
      <w:r w:rsidR="00F75D60" w:rsidRPr="00483DC7">
        <w:rPr>
          <w:rFonts w:ascii="Times New Roman" w:hAnsi="Times New Roman" w:cs="Times New Roman"/>
          <w:bCs/>
          <w:sz w:val="24"/>
          <w:szCs w:val="24"/>
          <w:lang w:val="ro-MD" w:eastAsia="ru-RU"/>
        </w:rPr>
        <w:t xml:space="preserve"> infrastructurii publice, dezvoltarea unei economii sustenabile și</w:t>
      </w:r>
      <w:r w:rsidR="004F0428" w:rsidRPr="00483DC7">
        <w:rPr>
          <w:rFonts w:ascii="Times New Roman" w:hAnsi="Times New Roman" w:cs="Times New Roman"/>
          <w:bCs/>
          <w:sz w:val="24"/>
          <w:szCs w:val="24"/>
          <w:lang w:val="ro-MD" w:eastAsia="ru-RU"/>
        </w:rPr>
        <w:t xml:space="preserve"> competitive,</w:t>
      </w:r>
      <w:r w:rsidR="00187792" w:rsidRPr="00483DC7">
        <w:rPr>
          <w:rFonts w:ascii="Times New Roman" w:hAnsi="Times New Roman" w:cs="Times New Roman"/>
          <w:bCs/>
          <w:sz w:val="24"/>
          <w:szCs w:val="24"/>
          <w:lang w:val="ro-MD" w:eastAsia="ru-RU"/>
        </w:rPr>
        <w:t xml:space="preserve"> crearea locurilor de muncă și</w:t>
      </w:r>
      <w:r w:rsidR="00583145" w:rsidRPr="00483DC7">
        <w:rPr>
          <w:rFonts w:ascii="Times New Roman" w:hAnsi="Times New Roman" w:cs="Times New Roman"/>
          <w:bCs/>
          <w:sz w:val="24"/>
          <w:szCs w:val="24"/>
          <w:lang w:val="ro-MD" w:eastAsia="ru-RU"/>
        </w:rPr>
        <w:t xml:space="preserve"> </w:t>
      </w:r>
      <w:r w:rsidR="00F75D60" w:rsidRPr="00483DC7">
        <w:rPr>
          <w:rFonts w:ascii="Times New Roman" w:hAnsi="Times New Roman" w:cs="Times New Roman"/>
          <w:bCs/>
          <w:sz w:val="24"/>
          <w:szCs w:val="24"/>
          <w:lang w:val="ro-MD" w:eastAsia="ru-RU"/>
        </w:rPr>
        <w:t xml:space="preserve">îmbunătățirea </w:t>
      </w:r>
      <w:r w:rsidR="00187792" w:rsidRPr="00483DC7">
        <w:rPr>
          <w:rFonts w:ascii="Times New Roman" w:hAnsi="Times New Roman" w:cs="Times New Roman"/>
          <w:bCs/>
          <w:sz w:val="24"/>
          <w:szCs w:val="24"/>
          <w:lang w:val="ro-MD" w:eastAsia="ru-RU"/>
        </w:rPr>
        <w:t>calității vieții</w:t>
      </w:r>
      <w:r w:rsidR="00F75D60" w:rsidRPr="00483DC7">
        <w:rPr>
          <w:rFonts w:ascii="Times New Roman" w:hAnsi="Times New Roman" w:cs="Times New Roman"/>
          <w:bCs/>
          <w:sz w:val="24"/>
          <w:szCs w:val="24"/>
          <w:lang w:val="ro-MD" w:eastAsia="ru-RU"/>
        </w:rPr>
        <w:t xml:space="preserve"> cetățenilor.</w:t>
      </w:r>
    </w:p>
    <w:p w14:paraId="400A21BA" w14:textId="7E651FCA" w:rsidR="007027E2" w:rsidRPr="00483DC7" w:rsidRDefault="00785A72" w:rsidP="00FE2E3F">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În perioada 2022-2023, p</w:t>
      </w:r>
      <w:r w:rsidR="007027E2" w:rsidRPr="00483DC7">
        <w:rPr>
          <w:rFonts w:ascii="Times New Roman" w:hAnsi="Times New Roman" w:cs="Times New Roman"/>
          <w:bCs/>
          <w:sz w:val="24"/>
          <w:szCs w:val="24"/>
          <w:lang w:val="ro-MD" w:eastAsia="ru-RU"/>
        </w:rPr>
        <w:t>otrivit informații</w:t>
      </w:r>
      <w:r w:rsidR="00FD7C7A">
        <w:rPr>
          <w:rFonts w:ascii="Times New Roman" w:hAnsi="Times New Roman" w:cs="Times New Roman"/>
          <w:bCs/>
          <w:sz w:val="24"/>
          <w:szCs w:val="24"/>
          <w:lang w:val="ro-MD" w:eastAsia="ru-RU"/>
        </w:rPr>
        <w:t>lor</w:t>
      </w:r>
      <w:r w:rsidR="007027E2" w:rsidRPr="00483DC7">
        <w:rPr>
          <w:rFonts w:ascii="Times New Roman" w:hAnsi="Times New Roman" w:cs="Times New Roman"/>
          <w:bCs/>
          <w:sz w:val="24"/>
          <w:szCs w:val="24"/>
          <w:lang w:val="ro-MD" w:eastAsia="ru-RU"/>
        </w:rPr>
        <w:t xml:space="preserve"> prezentate auditului de către MF</w:t>
      </w:r>
      <w:r w:rsidR="007027E2" w:rsidRPr="00483DC7">
        <w:rPr>
          <w:rStyle w:val="FootnoteReference"/>
          <w:rFonts w:ascii="Times New Roman" w:hAnsi="Times New Roman" w:cs="Times New Roman"/>
          <w:bCs/>
          <w:sz w:val="24"/>
          <w:szCs w:val="24"/>
          <w:lang w:val="ro-MD" w:eastAsia="ru-RU"/>
        </w:rPr>
        <w:footnoteReference w:id="4"/>
      </w:r>
      <w:r w:rsidR="007027E2" w:rsidRPr="00483DC7">
        <w:rPr>
          <w:rFonts w:ascii="Times New Roman" w:hAnsi="Times New Roman" w:cs="Times New Roman"/>
          <w:bCs/>
          <w:sz w:val="24"/>
          <w:szCs w:val="24"/>
          <w:lang w:val="ro-MD" w:eastAsia="ru-RU"/>
        </w:rPr>
        <w:t>, valoarea totală a mijloacelor financiare executate din asistența externă pentru finanțarea proiectelor investiționale a constituit 14.577,40 mil. lei</w:t>
      </w:r>
      <w:r w:rsidR="007027E2" w:rsidRPr="00483DC7">
        <w:rPr>
          <w:rStyle w:val="FootnoteReference"/>
          <w:rFonts w:ascii="Times New Roman" w:hAnsi="Times New Roman" w:cs="Times New Roman"/>
          <w:bCs/>
          <w:sz w:val="24"/>
          <w:szCs w:val="24"/>
          <w:lang w:val="ro-MD" w:eastAsia="ru-RU"/>
        </w:rPr>
        <w:footnoteReference w:id="5"/>
      </w:r>
      <w:r w:rsidR="007027E2" w:rsidRPr="00483DC7">
        <w:rPr>
          <w:rFonts w:ascii="Times New Roman" w:hAnsi="Times New Roman" w:cs="Times New Roman"/>
          <w:bCs/>
          <w:sz w:val="24"/>
          <w:szCs w:val="24"/>
          <w:lang w:val="ro-MD" w:eastAsia="ru-RU"/>
        </w:rPr>
        <w:t>, dintre care: împrumuturi externe – 13.375,69 mil.lei</w:t>
      </w:r>
      <w:r w:rsidR="007027E2" w:rsidRPr="00483DC7">
        <w:rPr>
          <w:rStyle w:val="FootnoteReference"/>
          <w:rFonts w:ascii="Times New Roman" w:hAnsi="Times New Roman" w:cs="Times New Roman"/>
          <w:bCs/>
          <w:sz w:val="24"/>
          <w:szCs w:val="24"/>
          <w:lang w:val="ro-MD" w:eastAsia="ru-RU"/>
        </w:rPr>
        <w:footnoteReference w:id="6"/>
      </w:r>
      <w:r w:rsidR="007027E2" w:rsidRPr="00483DC7">
        <w:rPr>
          <w:rFonts w:ascii="Times New Roman" w:hAnsi="Times New Roman" w:cs="Times New Roman"/>
          <w:bCs/>
          <w:sz w:val="24"/>
          <w:szCs w:val="24"/>
          <w:lang w:val="ro-MD" w:eastAsia="ru-RU"/>
        </w:rPr>
        <w:t>, sau 92,76 % din total și, respectiv, granturi primite – 1.201,71 mil. lei</w:t>
      </w:r>
      <w:r w:rsidR="007027E2" w:rsidRPr="00483DC7">
        <w:rPr>
          <w:rStyle w:val="FootnoteReference"/>
          <w:rFonts w:ascii="Times New Roman" w:hAnsi="Times New Roman" w:cs="Times New Roman"/>
          <w:bCs/>
          <w:sz w:val="24"/>
          <w:szCs w:val="24"/>
          <w:lang w:val="ro-MD" w:eastAsia="ru-RU"/>
        </w:rPr>
        <w:footnoteReference w:id="7"/>
      </w:r>
      <w:r w:rsidR="007027E2" w:rsidRPr="00483DC7">
        <w:rPr>
          <w:rFonts w:ascii="Times New Roman" w:hAnsi="Times New Roman" w:cs="Times New Roman"/>
          <w:bCs/>
          <w:sz w:val="24"/>
          <w:szCs w:val="24"/>
          <w:lang w:val="ro-MD" w:eastAsia="ru-RU"/>
        </w:rPr>
        <w:t xml:space="preserve">, sau 8,24 % din total. Analiza detaliată se prezintă în </w:t>
      </w:r>
      <w:r w:rsidR="007027E2" w:rsidRPr="00483DC7">
        <w:rPr>
          <w:rFonts w:ascii="Times New Roman" w:hAnsi="Times New Roman" w:cs="Times New Roman"/>
          <w:b/>
          <w:bCs/>
          <w:sz w:val="24"/>
          <w:szCs w:val="24"/>
          <w:lang w:val="ro-MD" w:eastAsia="ru-RU"/>
        </w:rPr>
        <w:t>Anexa nr. 2 la Raportul de audit</w:t>
      </w:r>
      <w:r w:rsidR="007027E2" w:rsidRPr="00483DC7">
        <w:rPr>
          <w:rFonts w:ascii="Times New Roman" w:hAnsi="Times New Roman" w:cs="Times New Roman"/>
          <w:bCs/>
          <w:sz w:val="24"/>
          <w:szCs w:val="24"/>
          <w:lang w:val="ro-MD" w:eastAsia="ru-RU"/>
        </w:rPr>
        <w:t xml:space="preserve">. </w:t>
      </w:r>
    </w:p>
    <w:p w14:paraId="3759BDA2" w14:textId="5441CF2D" w:rsidR="00B67BD7" w:rsidRPr="00483DC7" w:rsidRDefault="00B67BD7" w:rsidP="009779C9">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lastRenderedPageBreak/>
        <w:t>Deși anual se atestă o creștere a valorii debursărilor efectuate din asistența externă oferită Republicii Moldova, potrivit rezultatelor auditurilor publice externe ale Curții de Conturi</w:t>
      </w:r>
      <w:r w:rsidRPr="00483DC7">
        <w:rPr>
          <w:rStyle w:val="FootnoteReference"/>
          <w:rFonts w:ascii="Times New Roman" w:hAnsi="Times New Roman" w:cs="Times New Roman"/>
          <w:bCs/>
          <w:sz w:val="24"/>
          <w:szCs w:val="24"/>
          <w:lang w:val="ro-MD" w:eastAsia="ru-RU"/>
        </w:rPr>
        <w:footnoteReference w:id="8"/>
      </w:r>
      <w:r w:rsidRPr="00483DC7">
        <w:rPr>
          <w:rFonts w:ascii="Times New Roman" w:hAnsi="Times New Roman" w:cs="Times New Roman"/>
          <w:bCs/>
          <w:sz w:val="24"/>
          <w:szCs w:val="24"/>
          <w:lang w:val="ro-MD" w:eastAsia="ru-RU"/>
        </w:rPr>
        <w:t>, nivelul de valorificare a împrumuturilor externe este unul foarte scăzut, fiind generate cheltuieli suplimentare, finanțate din bugetul de stat, ca rezultat al achitării dobânzilor și comisioanelor pentru soldurile nedebursate, precum și</w:t>
      </w:r>
      <w:r w:rsidR="00FD7C7A">
        <w:rPr>
          <w:rFonts w:ascii="Times New Roman" w:hAnsi="Times New Roman" w:cs="Times New Roman"/>
          <w:bCs/>
          <w:sz w:val="24"/>
          <w:szCs w:val="24"/>
          <w:lang w:val="ro-MD" w:eastAsia="ru-RU"/>
        </w:rPr>
        <w:t xml:space="preserve"> ca</w:t>
      </w:r>
      <w:r w:rsidRPr="00483DC7">
        <w:rPr>
          <w:rFonts w:ascii="Times New Roman" w:hAnsi="Times New Roman" w:cs="Times New Roman"/>
          <w:bCs/>
          <w:sz w:val="24"/>
          <w:szCs w:val="24"/>
          <w:lang w:val="ro-MD" w:eastAsia="ru-RU"/>
        </w:rPr>
        <w:t xml:space="preserve"> urmare a reactualizării costurilor proiectelor investiționale respective reieșind din efectele fenomenului inflaționist al prețurilor la bunurile, lucrările și serviciile achiziționate. </w:t>
      </w:r>
    </w:p>
    <w:p w14:paraId="08CCCCD7" w14:textId="6881589F" w:rsidR="00B74E3D" w:rsidRPr="00483DC7" w:rsidRDefault="00B67BD7" w:rsidP="00B67BD7">
      <w:pPr>
        <w:ind w:firstLine="720"/>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Astfel, importanța tematicii de audit selectate rezidă </w:t>
      </w:r>
      <w:r w:rsidR="00FD7C7A">
        <w:rPr>
          <w:rFonts w:ascii="Times New Roman" w:hAnsi="Times New Roman" w:cs="Times New Roman"/>
          <w:bCs/>
          <w:sz w:val="24"/>
          <w:szCs w:val="24"/>
          <w:lang w:val="ro-MD" w:eastAsia="ru-RU"/>
        </w:rPr>
        <w:t>în</w:t>
      </w:r>
      <w:r w:rsidRPr="00483DC7">
        <w:rPr>
          <w:rFonts w:ascii="Times New Roman" w:hAnsi="Times New Roman" w:cs="Times New Roman"/>
          <w:bCs/>
          <w:sz w:val="24"/>
          <w:szCs w:val="24"/>
          <w:lang w:val="ro-MD" w:eastAsia="ru-RU"/>
        </w:rPr>
        <w:t xml:space="preserve"> necesitatea oferirii părților interesate (Parla</w:t>
      </w:r>
      <w:r w:rsidR="00FD7C7A">
        <w:rPr>
          <w:rFonts w:ascii="Times New Roman" w:hAnsi="Times New Roman" w:cs="Times New Roman"/>
          <w:bCs/>
          <w:sz w:val="24"/>
          <w:szCs w:val="24"/>
          <w:lang w:val="ro-MD" w:eastAsia="ru-RU"/>
        </w:rPr>
        <w:t>ment, Guvern, societatea civilă</w:t>
      </w:r>
      <w:r w:rsidRPr="00483DC7">
        <w:rPr>
          <w:rFonts w:ascii="Times New Roman" w:hAnsi="Times New Roman" w:cs="Times New Roman"/>
          <w:bCs/>
          <w:sz w:val="24"/>
          <w:szCs w:val="24"/>
          <w:lang w:val="ro-MD" w:eastAsia="ru-RU"/>
        </w:rPr>
        <w:t xml:space="preserve"> etc.) a unei analize exhaustive și obiective asupra performanței sistemului de management al asistenței externe, care să contribuie semnificativ la identificarea și soluționarea problemelor cu impact negativ asupra nivelului de absorbție a asistenței externe. Totodată, auditul prezintă interes din punct de vedere social-economic întrucât oferă o evaluare asupra economicității, eficienței și eficacității utilizării resurselor financiare alocate instituțiilor publice, responsabile de coordonarea, implementarea și monitorizarea proiectelor finanțate din surse externe.</w:t>
      </w:r>
    </w:p>
    <w:p w14:paraId="33DB178B" w14:textId="77777777" w:rsidR="00B67BD7" w:rsidRPr="00483DC7" w:rsidRDefault="00B67BD7" w:rsidP="00B67BD7">
      <w:pPr>
        <w:pStyle w:val="Heading2"/>
        <w:rPr>
          <w:rFonts w:ascii="Times New Roman" w:hAnsi="Times New Roman" w:cs="Times New Roman"/>
          <w:b/>
          <w:color w:val="auto"/>
          <w:sz w:val="24"/>
          <w:szCs w:val="24"/>
          <w:lang w:val="ro-MD" w:eastAsia="ru-RU"/>
        </w:rPr>
      </w:pPr>
      <w:bookmarkStart w:id="6" w:name="_Toc185943212"/>
      <w:r w:rsidRPr="00483DC7">
        <w:rPr>
          <w:rFonts w:ascii="Times New Roman" w:hAnsi="Times New Roman" w:cs="Times New Roman"/>
          <w:b/>
          <w:color w:val="auto"/>
          <w:sz w:val="24"/>
          <w:szCs w:val="24"/>
          <w:lang w:val="ro-MD" w:eastAsia="ru-RU"/>
        </w:rPr>
        <w:t>2.2. Descrierea domeniului auditat</w:t>
      </w:r>
      <w:bookmarkEnd w:id="6"/>
    </w:p>
    <w:p w14:paraId="7722F540" w14:textId="2467ECDF" w:rsidR="000169EF" w:rsidRPr="00483DC7" w:rsidRDefault="009779C9" w:rsidP="000169EF">
      <w:pPr>
        <w:spacing w:after="0" w:line="276" w:lineRule="auto"/>
        <w:ind w:firstLine="709"/>
        <w:jc w:val="both"/>
        <w:rPr>
          <w:rFonts w:ascii="Times New Roman" w:hAnsi="Times New Roman" w:cs="Times New Roman"/>
          <w:bCs/>
          <w:sz w:val="24"/>
          <w:szCs w:val="24"/>
          <w:lang w:val="ro-MD" w:eastAsia="ru-RU"/>
        </w:rPr>
      </w:pPr>
      <w:r w:rsidRPr="00483DC7">
        <w:rPr>
          <w:rFonts w:ascii="Times New Roman" w:eastAsia="Times New Roman" w:hAnsi="Times New Roman" w:cs="Times New Roman"/>
          <w:color w:val="000000" w:themeColor="text1"/>
          <w:sz w:val="24"/>
          <w:szCs w:val="24"/>
          <w:lang w:val="ro-MD" w:eastAsia="ru-RU"/>
        </w:rPr>
        <w:t>În Republica Moldova gestionarea proiectelor finanțate din surse externe este reglementată prin HG nr.377 din 25.04.2018</w:t>
      </w:r>
      <w:r w:rsidRPr="00483DC7">
        <w:rPr>
          <w:rStyle w:val="FootnoteReference"/>
          <w:rFonts w:ascii="Times New Roman" w:eastAsia="Times New Roman" w:hAnsi="Times New Roman" w:cs="Times New Roman"/>
          <w:color w:val="000000" w:themeColor="text1"/>
          <w:sz w:val="24"/>
          <w:szCs w:val="24"/>
          <w:lang w:val="ro-MD" w:eastAsia="ru-RU"/>
        </w:rPr>
        <w:footnoteReference w:id="9"/>
      </w:r>
      <w:r w:rsidRPr="00483DC7">
        <w:rPr>
          <w:rFonts w:ascii="Times New Roman" w:eastAsia="Times New Roman" w:hAnsi="Times New Roman" w:cs="Times New Roman"/>
          <w:color w:val="000000" w:themeColor="text1"/>
          <w:sz w:val="24"/>
          <w:szCs w:val="24"/>
          <w:lang w:val="ro-MD" w:eastAsia="ru-RU"/>
        </w:rPr>
        <w:t>. Acest act normativ definește structura instituțională și procesele necesare pentru implementarea eficientă a asistenței externe. Scopul actului normativ menționat constă în asigurarea unei utilizări eficiente și conforme a resurselor externe în cadrul proiectelor de dezvoltare</w:t>
      </w:r>
      <w:r w:rsidR="00FD7C7A">
        <w:rPr>
          <w:rFonts w:ascii="Times New Roman" w:eastAsia="Times New Roman" w:hAnsi="Times New Roman" w:cs="Times New Roman"/>
          <w:color w:val="000000" w:themeColor="text1"/>
          <w:sz w:val="24"/>
          <w:szCs w:val="24"/>
          <w:lang w:val="ro-MD" w:eastAsia="ru-RU"/>
        </w:rPr>
        <w:t>,</w:t>
      </w:r>
      <w:r w:rsidRPr="00483DC7">
        <w:rPr>
          <w:rFonts w:ascii="Times New Roman" w:eastAsia="Times New Roman" w:hAnsi="Times New Roman" w:cs="Times New Roman"/>
          <w:color w:val="000000" w:themeColor="text1"/>
          <w:sz w:val="24"/>
          <w:szCs w:val="24"/>
          <w:lang w:val="ro-MD" w:eastAsia="ru-RU"/>
        </w:rPr>
        <w:t xml:space="preserve"> pentru a maximiza impactul asistenței externe, care abordează necesitățile de dezvoltare ale Republicii Moldova. </w:t>
      </w:r>
    </w:p>
    <w:p w14:paraId="13279C94" w14:textId="77777777" w:rsidR="00B67BD7" w:rsidRPr="00483DC7" w:rsidRDefault="00B67BD7" w:rsidP="000169EF">
      <w:pPr>
        <w:spacing w:after="0" w:line="276" w:lineRule="auto"/>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Potrivit prevederilor </w:t>
      </w:r>
      <w:r w:rsidRPr="00483DC7">
        <w:rPr>
          <w:rFonts w:ascii="Times New Roman" w:hAnsi="Times New Roman" w:cs="Times New Roman"/>
          <w:sz w:val="24"/>
          <w:szCs w:val="24"/>
          <w:lang w:val="ro-MD"/>
        </w:rPr>
        <w:t>HG nr.</w:t>
      </w:r>
      <w:r w:rsidR="000169EF" w:rsidRPr="00483DC7">
        <w:rPr>
          <w:rFonts w:ascii="Times New Roman" w:hAnsi="Times New Roman" w:cs="Times New Roman"/>
          <w:sz w:val="24"/>
          <w:szCs w:val="24"/>
          <w:lang w:val="ro-MD"/>
        </w:rPr>
        <w:t>377/</w:t>
      </w:r>
      <w:r w:rsidRPr="00483DC7">
        <w:rPr>
          <w:rFonts w:ascii="Times New Roman" w:hAnsi="Times New Roman" w:cs="Times New Roman"/>
          <w:sz w:val="24"/>
          <w:szCs w:val="24"/>
          <w:lang w:val="ro-MD"/>
        </w:rPr>
        <w:t>2018, sistemul de management al asistenței externe cuprinde 5 etape, după cum urmează:</w:t>
      </w:r>
    </w:p>
    <w:p w14:paraId="71AE84D9" w14:textId="7E7FE96D" w:rsidR="00B67BD7" w:rsidRPr="00483DC7" w:rsidRDefault="00FD7C7A" w:rsidP="00B67BD7">
      <w:pPr>
        <w:pStyle w:val="ListParagraph"/>
        <w:numPr>
          <w:ilvl w:val="0"/>
          <w:numId w:val="1"/>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i/>
          <w:sz w:val="24"/>
          <w:szCs w:val="24"/>
          <w:lang w:val="ro-MD"/>
        </w:rPr>
        <w:t>p</w:t>
      </w:r>
      <w:r w:rsidR="00B67BD7" w:rsidRPr="00483DC7">
        <w:rPr>
          <w:rFonts w:ascii="Times New Roman" w:hAnsi="Times New Roman" w:cs="Times New Roman"/>
          <w:i/>
          <w:sz w:val="24"/>
          <w:szCs w:val="24"/>
          <w:lang w:val="ro-MD"/>
        </w:rPr>
        <w:t>rogramarea asistenței externe</w:t>
      </w:r>
      <w:r w:rsidR="00B67BD7" w:rsidRPr="00483DC7">
        <w:rPr>
          <w:rFonts w:ascii="Times New Roman" w:hAnsi="Times New Roman" w:cs="Times New Roman"/>
          <w:sz w:val="24"/>
          <w:szCs w:val="24"/>
          <w:lang w:val="ro-MD"/>
        </w:rPr>
        <w:t xml:space="preserve"> este efectuată de către autoritatea națională de coordonare (Cancelaria de </w:t>
      </w:r>
      <w:r>
        <w:rPr>
          <w:rFonts w:ascii="Times New Roman" w:hAnsi="Times New Roman" w:cs="Times New Roman"/>
          <w:sz w:val="24"/>
          <w:szCs w:val="24"/>
          <w:lang w:val="ro-MD"/>
        </w:rPr>
        <w:t>S</w:t>
      </w:r>
      <w:r w:rsidR="00B67BD7" w:rsidRPr="00483DC7">
        <w:rPr>
          <w:rFonts w:ascii="Times New Roman" w:hAnsi="Times New Roman" w:cs="Times New Roman"/>
          <w:sz w:val="24"/>
          <w:szCs w:val="24"/>
          <w:lang w:val="ro-MD"/>
        </w:rPr>
        <w:t>tat/ Ministerul Finanțelor) care, în colaborare cu coordonatorul sectorial al asistenței externe (ministerele de ramură) determină prioritățile de asistență externă, formulează propunerile, fișele și termen</w:t>
      </w:r>
      <w:r>
        <w:rPr>
          <w:rFonts w:ascii="Times New Roman" w:hAnsi="Times New Roman" w:cs="Times New Roman"/>
          <w:sz w:val="24"/>
          <w:szCs w:val="24"/>
          <w:lang w:val="ro-MD"/>
        </w:rPr>
        <w:t>ele</w:t>
      </w:r>
      <w:r w:rsidR="00B67BD7" w:rsidRPr="00483DC7">
        <w:rPr>
          <w:rFonts w:ascii="Times New Roman" w:hAnsi="Times New Roman" w:cs="Times New Roman"/>
          <w:sz w:val="24"/>
          <w:szCs w:val="24"/>
          <w:lang w:val="ro-MD"/>
        </w:rPr>
        <w:t xml:space="preserve"> de referință a</w:t>
      </w:r>
      <w:r>
        <w:rPr>
          <w:rFonts w:ascii="Times New Roman" w:hAnsi="Times New Roman" w:cs="Times New Roman"/>
          <w:sz w:val="24"/>
          <w:szCs w:val="24"/>
          <w:lang w:val="ro-MD"/>
        </w:rPr>
        <w:t>le</w:t>
      </w:r>
      <w:r w:rsidR="00B67BD7" w:rsidRPr="00483DC7">
        <w:rPr>
          <w:rFonts w:ascii="Times New Roman" w:hAnsi="Times New Roman" w:cs="Times New Roman"/>
          <w:sz w:val="24"/>
          <w:szCs w:val="24"/>
          <w:lang w:val="ro-MD"/>
        </w:rPr>
        <w:t xml:space="preserve"> proiectelor finanțate din surse externe, în temeiul cărora ulterior sunt negociate și semnate acordurile de asistență externă. Coordonatorul sectorial și/sau beneficiarul primar asigură îndeplinirea condițiilor pentru intrarea în v</w:t>
      </w:r>
      <w:r>
        <w:rPr>
          <w:rFonts w:ascii="Times New Roman" w:hAnsi="Times New Roman" w:cs="Times New Roman"/>
          <w:sz w:val="24"/>
          <w:szCs w:val="24"/>
          <w:lang w:val="ro-MD"/>
        </w:rPr>
        <w:t>igoare a acordurilor respective;</w:t>
      </w:r>
      <w:r w:rsidR="00B67BD7" w:rsidRPr="00483DC7">
        <w:rPr>
          <w:rFonts w:ascii="Times New Roman" w:hAnsi="Times New Roman" w:cs="Times New Roman"/>
          <w:sz w:val="24"/>
          <w:szCs w:val="24"/>
          <w:lang w:val="ro-MD"/>
        </w:rPr>
        <w:t xml:space="preserve"> </w:t>
      </w:r>
    </w:p>
    <w:p w14:paraId="4F2B63AE" w14:textId="0C9EE2EA" w:rsidR="00B67BD7" w:rsidRPr="00483DC7" w:rsidRDefault="00FD7C7A" w:rsidP="004B633C">
      <w:pPr>
        <w:pStyle w:val="ListParagraph"/>
        <w:numPr>
          <w:ilvl w:val="0"/>
          <w:numId w:val="1"/>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i/>
          <w:sz w:val="24"/>
          <w:szCs w:val="24"/>
          <w:lang w:val="ro-MD"/>
        </w:rPr>
        <w:t>i</w:t>
      </w:r>
      <w:r w:rsidR="00B67BD7" w:rsidRPr="00483DC7">
        <w:rPr>
          <w:rFonts w:ascii="Times New Roman" w:hAnsi="Times New Roman" w:cs="Times New Roman"/>
          <w:i/>
          <w:sz w:val="24"/>
          <w:szCs w:val="24"/>
          <w:lang w:val="ro-MD"/>
        </w:rPr>
        <w:t>mplementarea proiectului/programului de asistență externă</w:t>
      </w:r>
      <w:r w:rsidR="00B67BD7" w:rsidRPr="00483DC7">
        <w:rPr>
          <w:rFonts w:ascii="Times New Roman" w:hAnsi="Times New Roman" w:cs="Times New Roman"/>
          <w:sz w:val="24"/>
          <w:szCs w:val="24"/>
          <w:lang w:val="ro-MD"/>
        </w:rPr>
        <w:t xml:space="preserve"> este responsabilitatea beneficiarului primar și/sau</w:t>
      </w:r>
      <w:r w:rsidR="00BD3E48">
        <w:rPr>
          <w:rFonts w:ascii="Times New Roman" w:hAnsi="Times New Roman" w:cs="Times New Roman"/>
          <w:sz w:val="24"/>
          <w:szCs w:val="24"/>
          <w:lang w:val="ro-MD"/>
        </w:rPr>
        <w:t xml:space="preserve"> a</w:t>
      </w:r>
      <w:r w:rsidR="00B67BD7" w:rsidRPr="00483DC7">
        <w:rPr>
          <w:rFonts w:ascii="Times New Roman" w:hAnsi="Times New Roman" w:cs="Times New Roman"/>
          <w:sz w:val="24"/>
          <w:szCs w:val="24"/>
          <w:lang w:val="ro-MD"/>
        </w:rPr>
        <w:t xml:space="preserve"> implementatorul</w:t>
      </w:r>
      <w:r w:rsidR="00B85982">
        <w:rPr>
          <w:rFonts w:ascii="Times New Roman" w:hAnsi="Times New Roman" w:cs="Times New Roman"/>
          <w:sz w:val="24"/>
          <w:szCs w:val="24"/>
          <w:lang w:val="ro-MD"/>
        </w:rPr>
        <w:t>ui</w:t>
      </w:r>
      <w:r w:rsidR="00B67BD7" w:rsidRPr="00483DC7">
        <w:rPr>
          <w:rFonts w:ascii="Times New Roman" w:hAnsi="Times New Roman" w:cs="Times New Roman"/>
          <w:sz w:val="24"/>
          <w:szCs w:val="24"/>
          <w:lang w:val="ro-MD"/>
        </w:rPr>
        <w:t xml:space="preserve"> sub conducerea coordonatorului sectorial. La etapa de implementare, beneficiarul primar și/sau implementatorul urmează să asigure: a) utilizarea conform destinației și eficientă a asistenței externe raportată la rezultatele scontate; b) elaborarea și aprobarea rapoartelor de progres în implementarea proiectelor/programelor; c) accesul experților la informația necesară bunei funcționări a proiectului/programului; d) eficiența și transparența procesului de achiziții a serviciilor și bunurilor, precum și a managementului financiar (în cazul contractării asistenței externe); e) organizarea activității comitetului de supraveghere pentru proiect/program, după caz; f) vizibilitatea proiectelor/programelor de asistență externă în derulare; g) înregistrarea proiectelor/programelor de asistență externă în platforma pentru gestionarea asistenței externe și actualizarea permanentă a informații</w:t>
      </w:r>
      <w:r w:rsidR="00F31AA4">
        <w:rPr>
          <w:rFonts w:ascii="Times New Roman" w:hAnsi="Times New Roman" w:cs="Times New Roman"/>
          <w:sz w:val="24"/>
          <w:szCs w:val="24"/>
          <w:lang w:val="ro-MD"/>
        </w:rPr>
        <w:t>lor</w:t>
      </w:r>
      <w:r w:rsidR="00B67BD7" w:rsidRPr="00483DC7">
        <w:rPr>
          <w:rFonts w:ascii="Times New Roman" w:hAnsi="Times New Roman" w:cs="Times New Roman"/>
          <w:sz w:val="24"/>
          <w:szCs w:val="24"/>
          <w:lang w:val="ro-MD"/>
        </w:rPr>
        <w:t xml:space="preserve"> pe tot parcursul implementării proiectului</w:t>
      </w:r>
      <w:r w:rsidR="00BD3E48">
        <w:rPr>
          <w:rFonts w:ascii="Times New Roman" w:hAnsi="Times New Roman" w:cs="Times New Roman"/>
          <w:sz w:val="24"/>
          <w:szCs w:val="24"/>
          <w:lang w:val="ro-MD"/>
        </w:rPr>
        <w:t>;</w:t>
      </w:r>
    </w:p>
    <w:p w14:paraId="4E9BE4F3" w14:textId="05152089" w:rsidR="00B67BD7" w:rsidRPr="00483DC7" w:rsidRDefault="00FD7C7A" w:rsidP="004B633C">
      <w:pPr>
        <w:pStyle w:val="ListParagraph"/>
        <w:numPr>
          <w:ilvl w:val="0"/>
          <w:numId w:val="1"/>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i/>
          <w:sz w:val="24"/>
          <w:szCs w:val="24"/>
          <w:lang w:val="ro-MD"/>
        </w:rPr>
        <w:t>m</w:t>
      </w:r>
      <w:r w:rsidR="00B67BD7" w:rsidRPr="00483DC7">
        <w:rPr>
          <w:rFonts w:ascii="Times New Roman" w:hAnsi="Times New Roman" w:cs="Times New Roman"/>
          <w:i/>
          <w:sz w:val="24"/>
          <w:szCs w:val="24"/>
          <w:lang w:val="ro-MD"/>
        </w:rPr>
        <w:t>onitorizarea implementării proiectelor/programelor de asistență externă</w:t>
      </w:r>
      <w:r w:rsidR="00B67BD7" w:rsidRPr="00483DC7">
        <w:rPr>
          <w:rFonts w:ascii="Times New Roman" w:hAnsi="Times New Roman" w:cs="Times New Roman"/>
          <w:sz w:val="24"/>
          <w:szCs w:val="24"/>
          <w:lang w:val="ro-MD"/>
        </w:rPr>
        <w:t xml:space="preserve">, în scopul evaluării eficienței, eficacității, impactului și durabilității acestora, este efectuată de către </w:t>
      </w:r>
      <w:r w:rsidR="00B67BD7" w:rsidRPr="00483DC7">
        <w:rPr>
          <w:rFonts w:ascii="Times New Roman" w:hAnsi="Times New Roman" w:cs="Times New Roman"/>
          <w:sz w:val="24"/>
          <w:szCs w:val="24"/>
          <w:lang w:val="ro-MD"/>
        </w:rPr>
        <w:lastRenderedPageBreak/>
        <w:t xml:space="preserve">autoritatea națională de coordonare prin intermediul rapoartelor prezentate </w:t>
      </w:r>
      <w:r w:rsidR="007A20F0">
        <w:rPr>
          <w:rFonts w:ascii="Times New Roman" w:hAnsi="Times New Roman" w:cs="Times New Roman"/>
          <w:sz w:val="24"/>
          <w:szCs w:val="24"/>
          <w:lang w:val="ro-MD"/>
        </w:rPr>
        <w:t>conform</w:t>
      </w:r>
      <w:r w:rsidR="00B67BD7" w:rsidRPr="00483DC7">
        <w:rPr>
          <w:rFonts w:ascii="Times New Roman" w:hAnsi="Times New Roman" w:cs="Times New Roman"/>
          <w:sz w:val="24"/>
          <w:szCs w:val="24"/>
          <w:lang w:val="ro-MD"/>
        </w:rPr>
        <w:t xml:space="preserve"> Ghidul</w:t>
      </w:r>
      <w:r w:rsidR="007A20F0">
        <w:rPr>
          <w:rFonts w:ascii="Times New Roman" w:hAnsi="Times New Roman" w:cs="Times New Roman"/>
          <w:sz w:val="24"/>
          <w:szCs w:val="24"/>
          <w:lang w:val="ro-MD"/>
        </w:rPr>
        <w:t>ui</w:t>
      </w:r>
      <w:r w:rsidR="00B67BD7" w:rsidRPr="00483DC7">
        <w:rPr>
          <w:rFonts w:ascii="Times New Roman" w:hAnsi="Times New Roman" w:cs="Times New Roman"/>
          <w:sz w:val="24"/>
          <w:szCs w:val="24"/>
          <w:lang w:val="ro-MD"/>
        </w:rPr>
        <w:t xml:space="preserve"> operațional privind coordonarea și managementul asistenței externe. La necesitate, monitorizarea implementării proiectelor/programelor de asistență externă este asigurată inclusiv prin: a) intervievarea instituțiilor beneficiare și a contractorului, b) vizite la locul implementării proiectului/programului de asistență externă, c) desfășurarea sondajelor de opinie în cadrul societății civile privind impactul proiectelor/programelor de asistență externă finalizate, </w:t>
      </w:r>
      <w:r w:rsidR="00095AA4" w:rsidRPr="00483DC7">
        <w:rPr>
          <w:rFonts w:ascii="Times New Roman" w:hAnsi="Times New Roman" w:cs="Times New Roman"/>
          <w:sz w:val="24"/>
          <w:szCs w:val="24"/>
          <w:lang w:val="ro-MD"/>
        </w:rPr>
        <w:t>d</w:t>
      </w:r>
      <w:r w:rsidR="00B67BD7" w:rsidRPr="00483DC7">
        <w:rPr>
          <w:rFonts w:ascii="Times New Roman" w:hAnsi="Times New Roman" w:cs="Times New Roman"/>
          <w:sz w:val="24"/>
          <w:szCs w:val="24"/>
          <w:lang w:val="ro-MD"/>
        </w:rPr>
        <w:t>) controale tematice efectuate de către autoritatea respons</w:t>
      </w:r>
      <w:r w:rsidR="00F31AA4">
        <w:rPr>
          <w:rFonts w:ascii="Times New Roman" w:hAnsi="Times New Roman" w:cs="Times New Roman"/>
          <w:sz w:val="24"/>
          <w:szCs w:val="24"/>
          <w:lang w:val="ro-MD"/>
        </w:rPr>
        <w:t>abilă de inspectarea financiară;</w:t>
      </w:r>
    </w:p>
    <w:p w14:paraId="4DAB16D8" w14:textId="5213DFA9" w:rsidR="00B67BD7" w:rsidRPr="00483DC7" w:rsidRDefault="00F31AA4" w:rsidP="004B633C">
      <w:pPr>
        <w:pStyle w:val="ListParagraph"/>
        <w:numPr>
          <w:ilvl w:val="0"/>
          <w:numId w:val="1"/>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i/>
          <w:sz w:val="24"/>
          <w:szCs w:val="24"/>
          <w:lang w:val="ro-MD"/>
        </w:rPr>
        <w:t>r</w:t>
      </w:r>
      <w:r w:rsidR="00B67BD7" w:rsidRPr="00483DC7">
        <w:rPr>
          <w:rFonts w:ascii="Times New Roman" w:hAnsi="Times New Roman" w:cs="Times New Roman"/>
          <w:i/>
          <w:sz w:val="24"/>
          <w:szCs w:val="24"/>
          <w:lang w:val="ro-MD"/>
        </w:rPr>
        <w:t>aportarea progresului în implementarea proiectului/programului de asistență externă</w:t>
      </w:r>
      <w:r w:rsidR="00B67BD7" w:rsidRPr="00483DC7">
        <w:rPr>
          <w:rFonts w:ascii="Times New Roman" w:hAnsi="Times New Roman" w:cs="Times New Roman"/>
          <w:sz w:val="24"/>
          <w:szCs w:val="24"/>
          <w:lang w:val="ro-MD"/>
        </w:rPr>
        <w:t xml:space="preserve"> diferă în funcție de fazele proiectului. Rapoartele anuale/finale privind progresul în implementarea proiectului/programului de asistență externă sunt elaborate de beneficiarul primar cu participarea beneficiarilor secundari și sunt prezentate coordonatorului sectorial după aprobarea în cadrul comitetului de supraveghere, după caz. Totodată, autoritatea națională de coordonare a asistenței externe poate solicita rapoarte intermediare privind progresul în implementarea proiectului/programului de asistență externă pentru o peri</w:t>
      </w:r>
      <w:r>
        <w:rPr>
          <w:rFonts w:ascii="Times New Roman" w:hAnsi="Times New Roman" w:cs="Times New Roman"/>
          <w:sz w:val="24"/>
          <w:szCs w:val="24"/>
          <w:lang w:val="ro-MD"/>
        </w:rPr>
        <w:t>oadă determinată, la necesitate;</w:t>
      </w:r>
      <w:r w:rsidR="00B67BD7" w:rsidRPr="00483DC7">
        <w:rPr>
          <w:rFonts w:ascii="Times New Roman" w:hAnsi="Times New Roman" w:cs="Times New Roman"/>
          <w:sz w:val="24"/>
          <w:szCs w:val="24"/>
          <w:lang w:val="ro-MD"/>
        </w:rPr>
        <w:t xml:space="preserve"> </w:t>
      </w:r>
    </w:p>
    <w:p w14:paraId="37982AC5" w14:textId="2DD67CAB" w:rsidR="00B67BD7" w:rsidRPr="00483DC7" w:rsidRDefault="00F31AA4" w:rsidP="004B633C">
      <w:pPr>
        <w:pStyle w:val="ListParagraph"/>
        <w:numPr>
          <w:ilvl w:val="0"/>
          <w:numId w:val="1"/>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i/>
          <w:sz w:val="24"/>
          <w:szCs w:val="24"/>
          <w:lang w:val="ro-MD"/>
        </w:rPr>
        <w:t>e</w:t>
      </w:r>
      <w:r w:rsidR="00B67BD7" w:rsidRPr="00483DC7">
        <w:rPr>
          <w:rFonts w:ascii="Times New Roman" w:hAnsi="Times New Roman" w:cs="Times New Roman"/>
          <w:i/>
          <w:sz w:val="24"/>
          <w:szCs w:val="24"/>
          <w:lang w:val="ro-MD"/>
        </w:rPr>
        <w:t>valuarea proiectelor/programelor de asistență externă</w:t>
      </w:r>
      <w:r w:rsidR="00B67BD7" w:rsidRPr="00483DC7">
        <w:rPr>
          <w:rFonts w:ascii="Times New Roman" w:hAnsi="Times New Roman" w:cs="Times New Roman"/>
          <w:sz w:val="24"/>
          <w:szCs w:val="24"/>
          <w:lang w:val="ro-MD"/>
        </w:rPr>
        <w:t xml:space="preserve"> se efectuează la solicitarea autorității naționale de coordonare, după caz.</w:t>
      </w:r>
    </w:p>
    <w:p w14:paraId="63AD9A49" w14:textId="0501D13C" w:rsidR="00B67BD7" w:rsidRPr="00483DC7" w:rsidRDefault="00B67BD7" w:rsidP="004B633C">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Pentru a asigura creșterea ratei de absorbție a asistenței externe și utilizarea eficientă a resurselor disponibile, Guvernul implică propriile instituții, sisteme și proceduri. Astfel</w:t>
      </w:r>
      <w:r w:rsidR="00F31AA4">
        <w:rPr>
          <w:rFonts w:ascii="Times New Roman" w:hAnsi="Times New Roman" w:cs="Times New Roman"/>
          <w:sz w:val="24"/>
          <w:szCs w:val="24"/>
          <w:lang w:val="ro-MD"/>
        </w:rPr>
        <w:t>,</w:t>
      </w:r>
    </w:p>
    <w:p w14:paraId="1604D0BE" w14:textId="4824A30B" w:rsidR="00B67BD7" w:rsidRPr="00483DC7" w:rsidRDefault="00B67BD7" w:rsidP="004B633C">
      <w:pPr>
        <w:pStyle w:val="ListParagraph"/>
        <w:numPr>
          <w:ilvl w:val="0"/>
          <w:numId w:val="2"/>
        </w:numPr>
        <w:spacing w:after="0" w:line="276" w:lineRule="auto"/>
        <w:ind w:left="0" w:firstLine="426"/>
        <w:jc w:val="both"/>
        <w:rPr>
          <w:rFonts w:ascii="Times New Roman" w:hAnsi="Times New Roman" w:cs="Times New Roman"/>
          <w:sz w:val="24"/>
          <w:szCs w:val="24"/>
          <w:lang w:val="ro-MD"/>
        </w:rPr>
      </w:pPr>
      <w:r w:rsidRPr="00483DC7">
        <w:rPr>
          <w:rFonts w:ascii="Times New Roman" w:hAnsi="Times New Roman" w:cs="Times New Roman"/>
          <w:b/>
          <w:i/>
          <w:sz w:val="24"/>
          <w:szCs w:val="24"/>
          <w:lang w:val="ro-MD"/>
        </w:rPr>
        <w:t>Prim-ministru</w:t>
      </w:r>
      <w:r w:rsidR="00F31AA4">
        <w:rPr>
          <w:rFonts w:ascii="Times New Roman" w:hAnsi="Times New Roman" w:cs="Times New Roman"/>
          <w:b/>
          <w:i/>
          <w:sz w:val="24"/>
          <w:szCs w:val="24"/>
          <w:lang w:val="ro-MD"/>
        </w:rPr>
        <w:t>l</w:t>
      </w:r>
      <w:r w:rsidRPr="00483DC7">
        <w:rPr>
          <w:rFonts w:ascii="Times New Roman" w:hAnsi="Times New Roman" w:cs="Times New Roman"/>
          <w:b/>
          <w:i/>
          <w:sz w:val="24"/>
          <w:szCs w:val="24"/>
          <w:lang w:val="ro-MD"/>
        </w:rPr>
        <w:t xml:space="preserve">, în calitate de coordonator național în domeniul asistenței externe, </w:t>
      </w:r>
      <w:r w:rsidRPr="00483DC7">
        <w:rPr>
          <w:rFonts w:ascii="Times New Roman" w:hAnsi="Times New Roman" w:cs="Times New Roman"/>
          <w:sz w:val="24"/>
          <w:szCs w:val="24"/>
          <w:lang w:val="ro-MD"/>
        </w:rPr>
        <w:t xml:space="preserve">realizează următoarele atribuții: a) promovează, în rândurile partenerilor externi de dezvoltare, prioritățile de asistență externă și proiectele/programele aprobate în cadrul </w:t>
      </w:r>
      <w:r w:rsidRPr="00483DC7">
        <w:rPr>
          <w:rFonts w:ascii="Times New Roman" w:hAnsi="Times New Roman" w:cs="Times New Roman"/>
          <w:sz w:val="24"/>
          <w:szCs w:val="24"/>
          <w:u w:val="single"/>
          <w:lang w:val="ro-MD"/>
        </w:rPr>
        <w:t>Comitetului interministerial pentru planificare strategică</w:t>
      </w:r>
      <w:r w:rsidRPr="00483DC7">
        <w:rPr>
          <w:rStyle w:val="FootnoteReference"/>
          <w:rFonts w:ascii="Times New Roman" w:hAnsi="Times New Roman" w:cs="Times New Roman"/>
          <w:sz w:val="24"/>
          <w:szCs w:val="24"/>
          <w:lang w:val="ro-MD"/>
        </w:rPr>
        <w:footnoteReference w:id="10"/>
      </w:r>
      <w:r w:rsidRPr="00483DC7">
        <w:rPr>
          <w:rFonts w:ascii="Times New Roman" w:hAnsi="Times New Roman" w:cs="Times New Roman"/>
          <w:sz w:val="24"/>
          <w:szCs w:val="24"/>
          <w:lang w:val="ro-MD"/>
        </w:rPr>
        <w:t>; b) semnează acordurile în domeniul asistenței externe; c) examinează progresele valorificării asistenței externe, rapoartele de monitorizare a implementării proiectelor/programelor;</w:t>
      </w:r>
    </w:p>
    <w:p w14:paraId="51C8C3EB" w14:textId="050AE74E" w:rsidR="00B67BD7" w:rsidRPr="00483DC7" w:rsidRDefault="00B67BD7" w:rsidP="004B633C">
      <w:pPr>
        <w:pStyle w:val="ListParagraph"/>
        <w:numPr>
          <w:ilvl w:val="0"/>
          <w:numId w:val="2"/>
        </w:numPr>
        <w:spacing w:after="0" w:line="276" w:lineRule="auto"/>
        <w:ind w:left="0" w:firstLine="426"/>
        <w:jc w:val="both"/>
        <w:rPr>
          <w:rFonts w:ascii="Times New Roman" w:hAnsi="Times New Roman" w:cs="Times New Roman"/>
          <w:sz w:val="24"/>
          <w:szCs w:val="24"/>
          <w:lang w:val="ro-MD"/>
        </w:rPr>
      </w:pPr>
      <w:r w:rsidRPr="00483DC7">
        <w:rPr>
          <w:rFonts w:ascii="Times New Roman" w:hAnsi="Times New Roman" w:cs="Times New Roman"/>
          <w:b/>
          <w:i/>
          <w:sz w:val="24"/>
          <w:szCs w:val="24"/>
          <w:lang w:val="ro-MD"/>
        </w:rPr>
        <w:t xml:space="preserve">Ministerul Finanțelor/Cancelaria de </w:t>
      </w:r>
      <w:r w:rsidR="00991A21">
        <w:rPr>
          <w:rFonts w:ascii="Times New Roman" w:hAnsi="Times New Roman" w:cs="Times New Roman"/>
          <w:b/>
          <w:i/>
          <w:sz w:val="24"/>
          <w:szCs w:val="24"/>
          <w:lang w:val="ro-MD"/>
        </w:rPr>
        <w:t>S</w:t>
      </w:r>
      <w:r w:rsidRPr="00483DC7">
        <w:rPr>
          <w:rFonts w:ascii="Times New Roman" w:hAnsi="Times New Roman" w:cs="Times New Roman"/>
          <w:b/>
          <w:i/>
          <w:sz w:val="24"/>
          <w:szCs w:val="24"/>
          <w:lang w:val="ro-MD"/>
        </w:rPr>
        <w:t>tat</w:t>
      </w:r>
      <w:r w:rsidRPr="00483DC7">
        <w:rPr>
          <w:rStyle w:val="FootnoteReference"/>
          <w:rFonts w:ascii="Times New Roman" w:hAnsi="Times New Roman" w:cs="Times New Roman"/>
          <w:b/>
          <w:i/>
          <w:sz w:val="24"/>
          <w:szCs w:val="24"/>
          <w:lang w:val="ro-MD"/>
        </w:rPr>
        <w:footnoteReference w:id="11"/>
      </w:r>
      <w:r w:rsidRPr="00483DC7">
        <w:rPr>
          <w:rFonts w:ascii="Times New Roman" w:hAnsi="Times New Roman" w:cs="Times New Roman"/>
          <w:b/>
          <w:i/>
          <w:sz w:val="24"/>
          <w:szCs w:val="24"/>
          <w:lang w:val="ro-MD"/>
        </w:rPr>
        <w:t>, în calitate de autoritate națională de coordonare</w:t>
      </w:r>
      <w:r w:rsidRPr="00483DC7">
        <w:rPr>
          <w:rFonts w:ascii="Times New Roman" w:hAnsi="Times New Roman" w:cs="Times New Roman"/>
          <w:sz w:val="24"/>
          <w:szCs w:val="24"/>
          <w:lang w:val="ro-MD"/>
        </w:rPr>
        <w:t>, este responsabilă de mecanismul de coordonare și management al asistenței externe și îndeplinește rolul de punct unic de contact/control în relația cu partenerii externi de dezvoltare și autoritățile publice privind propunerile de proiecte/programe de asistență externă;</w:t>
      </w:r>
    </w:p>
    <w:p w14:paraId="1E10DF5F" w14:textId="1686A5E0" w:rsidR="00B67BD7" w:rsidRPr="00483DC7" w:rsidRDefault="00B67BD7" w:rsidP="004B633C">
      <w:pPr>
        <w:pStyle w:val="ListParagraph"/>
        <w:numPr>
          <w:ilvl w:val="0"/>
          <w:numId w:val="2"/>
        </w:numPr>
        <w:spacing w:after="0" w:line="276" w:lineRule="auto"/>
        <w:ind w:left="0" w:firstLine="426"/>
        <w:jc w:val="both"/>
        <w:rPr>
          <w:rFonts w:ascii="Times New Roman" w:hAnsi="Times New Roman" w:cs="Times New Roman"/>
          <w:sz w:val="24"/>
          <w:szCs w:val="24"/>
          <w:lang w:val="ro-MD"/>
        </w:rPr>
      </w:pPr>
      <w:r w:rsidRPr="00483DC7">
        <w:rPr>
          <w:rFonts w:ascii="Times New Roman" w:hAnsi="Times New Roman" w:cs="Times New Roman"/>
          <w:b/>
          <w:i/>
          <w:sz w:val="24"/>
          <w:szCs w:val="24"/>
          <w:lang w:val="ro-MD"/>
        </w:rPr>
        <w:t xml:space="preserve">Autoritatea publică centrală sau autoritatea publică responsabilă de politica în sector, în calitate de coordonator sectorial al asistenței externe, </w:t>
      </w:r>
      <w:r w:rsidRPr="00483DC7">
        <w:rPr>
          <w:rFonts w:ascii="Times New Roman" w:hAnsi="Times New Roman" w:cs="Times New Roman"/>
          <w:sz w:val="24"/>
          <w:szCs w:val="24"/>
          <w:lang w:val="ro-MD"/>
        </w:rPr>
        <w:t>îndeplinește următoarele atribuții: a) elaborează calitativ și în termenele stabilite de calendarul bugetar propuneri de proiecte/programe sectoriale, în conformitate cu prioritățile sectoriale stabilite de Guvern; b) conduce grupul de negociere a acordului pentru proiectul/programul sectorial de asistență externă, cu excepția programelor de susținere a bugetului; c) asigură atingerea maximă a obiectivului general și/sau a obiectivelor specifice ale proiectului/programului sectorial, cu utilizarea eficientă a mijloacelor acordate; d) asigură buna funcționare a procesului de implementare și monitorizare a proiectelor/programelor lansate în sectorul coordonat; e) asigură excluderea suprapunerilor și dublărilor, precum și durabilitatea asistenței externe acordate în sectorul coordonat; f) asigură transparența activităților și a rezultatelor obținute în urma implementării proiectelor/programelor de asistență externă în sector; g) conduce comitetele de supraveghere a proiectelor/programelor din sectorul coordonat și asigură funcționare</w:t>
      </w:r>
      <w:r w:rsidR="00991A21">
        <w:rPr>
          <w:rFonts w:ascii="Times New Roman" w:hAnsi="Times New Roman" w:cs="Times New Roman"/>
          <w:sz w:val="24"/>
          <w:szCs w:val="24"/>
          <w:lang w:val="ro-MD"/>
        </w:rPr>
        <w:t>a</w:t>
      </w:r>
      <w:r w:rsidRPr="00483DC7">
        <w:rPr>
          <w:rFonts w:ascii="Times New Roman" w:hAnsi="Times New Roman" w:cs="Times New Roman"/>
          <w:sz w:val="24"/>
          <w:szCs w:val="24"/>
          <w:lang w:val="ro-MD"/>
        </w:rPr>
        <w:t xml:space="preserve"> eficientă și transparentă a acestor</w:t>
      </w:r>
      <w:r w:rsidR="00991A21">
        <w:rPr>
          <w:rFonts w:ascii="Times New Roman" w:hAnsi="Times New Roman" w:cs="Times New Roman"/>
          <w:sz w:val="24"/>
          <w:szCs w:val="24"/>
          <w:lang w:val="ro-MD"/>
        </w:rPr>
        <w:t>a</w:t>
      </w:r>
      <w:r w:rsidRPr="00483DC7">
        <w:rPr>
          <w:rFonts w:ascii="Times New Roman" w:hAnsi="Times New Roman" w:cs="Times New Roman"/>
          <w:sz w:val="24"/>
          <w:szCs w:val="24"/>
          <w:lang w:val="ro-MD"/>
        </w:rPr>
        <w:t xml:space="preserve">; h) participă în cadrul forumului comun de parteneriat pentru dezvoltare; i) elaborează raportul anual privind progresul în implementarea proiectelor/programelor de asistență externă în sectorul coordonat; j) înaintează solicitări argumentate privind finanțarea, extinderea, restructurarea, suspendarea proiectelor/programelor de asistență externă sau alte propuneri necesare pentru a asigura utilizarea </w:t>
      </w:r>
      <w:r w:rsidRPr="00483DC7">
        <w:rPr>
          <w:rFonts w:ascii="Times New Roman" w:hAnsi="Times New Roman" w:cs="Times New Roman"/>
          <w:sz w:val="24"/>
          <w:szCs w:val="24"/>
          <w:lang w:val="ro-MD"/>
        </w:rPr>
        <w:lastRenderedPageBreak/>
        <w:t>durabilă și eficientă a resurselor disponibile; k) conduce Consiliul sectorial în domeniul asistenței externe; l) informează autoritatea națională de coordonare despre statutul etapei de programare, eventualele probleme apărute și soluțiile de depășire propuse, precum și despre etapele implementării proiectelor de asistență externă în sectorul coordonat;</w:t>
      </w:r>
    </w:p>
    <w:p w14:paraId="0856008E" w14:textId="678D62E9" w:rsidR="00B67BD7" w:rsidRPr="00483DC7" w:rsidRDefault="00B67BD7" w:rsidP="004B633C">
      <w:pPr>
        <w:pStyle w:val="ListParagraph"/>
        <w:numPr>
          <w:ilvl w:val="0"/>
          <w:numId w:val="2"/>
        </w:numPr>
        <w:spacing w:after="0" w:line="276" w:lineRule="auto"/>
        <w:ind w:left="0" w:firstLine="426"/>
        <w:jc w:val="both"/>
        <w:rPr>
          <w:rFonts w:ascii="Times New Roman" w:hAnsi="Times New Roman" w:cs="Times New Roman"/>
          <w:sz w:val="24"/>
          <w:szCs w:val="24"/>
          <w:lang w:val="ro-MD"/>
        </w:rPr>
      </w:pPr>
      <w:r w:rsidRPr="00483DC7">
        <w:rPr>
          <w:rFonts w:ascii="Times New Roman" w:hAnsi="Times New Roman" w:cs="Times New Roman"/>
          <w:b/>
          <w:i/>
          <w:sz w:val="24"/>
          <w:szCs w:val="24"/>
          <w:lang w:val="ro-MD"/>
        </w:rPr>
        <w:t>Consiliile sectoriale în domeniul asistenței externe</w:t>
      </w:r>
      <w:r w:rsidRPr="00483DC7">
        <w:rPr>
          <w:rFonts w:ascii="Times New Roman" w:hAnsi="Times New Roman" w:cs="Times New Roman"/>
          <w:sz w:val="24"/>
          <w:szCs w:val="24"/>
          <w:lang w:val="ro-MD"/>
        </w:rPr>
        <w:t>, care</w:t>
      </w:r>
      <w:r w:rsidR="00991A21">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calitate de organe consultative create în baza principiului de parteneriat</w:t>
      </w:r>
      <w:r w:rsidR="00991A21">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sunt abilitate cu funcții de programare și monitorizare sectorială a proiectelor și programelor de asistență externă. Consiliile sectoriale analizează propunerile de proiecte noi de asistență externă și în baza principiului priorității și maturității proiectelor, le înaintează grupurilor sectoriale de lucru pentru elaborarea cadrului bugetar pe termen mediu, în scopul includerii acestora în strategiile sectoriale de cheltuieli, ce vor fi prezentate ulterior MF în conformitate cu calendarul bugetar.</w:t>
      </w:r>
    </w:p>
    <w:p w14:paraId="665FEE2C" w14:textId="2B5259AC" w:rsidR="00B67BD7" w:rsidRPr="00483DC7" w:rsidRDefault="00991A21" w:rsidP="004B633C">
      <w:pPr>
        <w:pStyle w:val="ListParagraph"/>
        <w:numPr>
          <w:ilvl w:val="0"/>
          <w:numId w:val="2"/>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b/>
          <w:i/>
          <w:sz w:val="24"/>
          <w:szCs w:val="24"/>
          <w:lang w:val="ro-MD"/>
        </w:rPr>
        <w:t>UIPFAE,</w:t>
      </w:r>
      <w:r w:rsidR="00B67BD7" w:rsidRPr="00483DC7">
        <w:rPr>
          <w:rFonts w:ascii="Times New Roman" w:hAnsi="Times New Roman" w:cs="Times New Roman"/>
          <w:b/>
          <w:i/>
          <w:sz w:val="24"/>
          <w:szCs w:val="24"/>
          <w:lang w:val="ro-MD"/>
        </w:rPr>
        <w:t xml:space="preserve"> care</w:t>
      </w:r>
      <w:r>
        <w:rPr>
          <w:rFonts w:ascii="Times New Roman" w:hAnsi="Times New Roman" w:cs="Times New Roman"/>
          <w:b/>
          <w:i/>
          <w:sz w:val="24"/>
          <w:szCs w:val="24"/>
          <w:lang w:val="ro-MD"/>
        </w:rPr>
        <w:t>,</w:t>
      </w:r>
      <w:r w:rsidR="00B67BD7" w:rsidRPr="00483DC7">
        <w:rPr>
          <w:rFonts w:ascii="Times New Roman" w:hAnsi="Times New Roman" w:cs="Times New Roman"/>
          <w:b/>
          <w:i/>
          <w:sz w:val="24"/>
          <w:szCs w:val="24"/>
          <w:lang w:val="ro-MD"/>
        </w:rPr>
        <w:t xml:space="preserve"> în calitate de beneficiari primari sau implementatori ai proiectelor/programelor de asistență externă, </w:t>
      </w:r>
      <w:r w:rsidR="00B67BD7" w:rsidRPr="00483DC7">
        <w:rPr>
          <w:rFonts w:ascii="Times New Roman" w:hAnsi="Times New Roman" w:cs="Times New Roman"/>
          <w:sz w:val="24"/>
          <w:szCs w:val="24"/>
          <w:lang w:val="ro-MD"/>
        </w:rPr>
        <w:t>sub conducerea coordonatorului sectorial, asigură: a) utilizarea conform destinației și eficientă a asistenței externe raportată la rezultatele scontate; b) elaborarea și aprobarea rapoartelor de progres în implementarea proiectelor/programelor; c) accesul experților la informația necesară bunei funcționări a proiectului/programului; d) eficiența și transparența procesului de achiziții a serviciilor și bunurilor, precum și a managementului financiar; e) organizarea activității comitetului de supraveghere pentru proiect/program, după caz; f) vizibilitatea proiectelor/programelor de asistență externă în derulare; g) înregistrarea proiectelor/programelor de asistență externă în platforma pentru gestionarea asistenței externe și actu</w:t>
      </w:r>
      <w:r w:rsidR="00C03B45">
        <w:rPr>
          <w:rFonts w:ascii="Times New Roman" w:hAnsi="Times New Roman" w:cs="Times New Roman"/>
          <w:sz w:val="24"/>
          <w:szCs w:val="24"/>
          <w:lang w:val="ro-MD"/>
        </w:rPr>
        <w:t>alizarea permanentă a informați</w:t>
      </w:r>
      <w:r w:rsidR="00B67BD7" w:rsidRPr="00483DC7">
        <w:rPr>
          <w:rFonts w:ascii="Times New Roman" w:hAnsi="Times New Roman" w:cs="Times New Roman"/>
          <w:sz w:val="24"/>
          <w:szCs w:val="24"/>
          <w:lang w:val="ro-MD"/>
        </w:rPr>
        <w:t>i</w:t>
      </w:r>
      <w:r w:rsidR="00C03B45">
        <w:rPr>
          <w:rFonts w:ascii="Times New Roman" w:hAnsi="Times New Roman" w:cs="Times New Roman"/>
          <w:sz w:val="24"/>
          <w:szCs w:val="24"/>
          <w:lang w:val="ro-MD"/>
        </w:rPr>
        <w:t>lor</w:t>
      </w:r>
      <w:r w:rsidR="00B67BD7" w:rsidRPr="00483DC7">
        <w:rPr>
          <w:rFonts w:ascii="Times New Roman" w:hAnsi="Times New Roman" w:cs="Times New Roman"/>
          <w:sz w:val="24"/>
          <w:szCs w:val="24"/>
          <w:lang w:val="ro-MD"/>
        </w:rPr>
        <w:t xml:space="preserve"> pe tot parcursul implementării proiectului.</w:t>
      </w:r>
    </w:p>
    <w:p w14:paraId="2B0D58EA" w14:textId="77777777" w:rsidR="004B633C" w:rsidRPr="00483DC7" w:rsidRDefault="000169EF" w:rsidP="004B633C">
      <w:pPr>
        <w:spacing w:after="0" w:line="276" w:lineRule="auto"/>
        <w:ind w:firstLine="709"/>
        <w:jc w:val="both"/>
        <w:rPr>
          <w:rFonts w:ascii="Times New Roman" w:eastAsia="Times New Roman" w:hAnsi="Times New Roman" w:cs="Times New Roman"/>
          <w:color w:val="000000" w:themeColor="text1"/>
          <w:sz w:val="24"/>
          <w:szCs w:val="24"/>
          <w:lang w:val="ro-MD" w:eastAsia="ru-RU"/>
        </w:rPr>
      </w:pPr>
      <w:r w:rsidRPr="00483DC7">
        <w:rPr>
          <w:rFonts w:ascii="Times New Roman" w:hAnsi="Times New Roman" w:cs="Times New Roman"/>
          <w:sz w:val="24"/>
          <w:szCs w:val="24"/>
          <w:lang w:val="ro-MD"/>
        </w:rPr>
        <w:t xml:space="preserve">Reieșind din prevederile HG nr. 377/2018, </w:t>
      </w:r>
      <w:r w:rsidRPr="00483DC7">
        <w:rPr>
          <w:rFonts w:ascii="Times New Roman" w:eastAsia="Times New Roman" w:hAnsi="Times New Roman" w:cs="Times New Roman"/>
          <w:color w:val="000000" w:themeColor="text1"/>
          <w:sz w:val="24"/>
          <w:szCs w:val="24"/>
          <w:lang w:val="ro-MD" w:eastAsia="ru-RU"/>
        </w:rPr>
        <w:t xml:space="preserve">UIPFAE se află în centrul acestui sistem, având responsabilitatea de a coordona activitățile de implementare, de a asigura coerența între diferitele proiecte și de a facilita comunicarea între toate părțile implicate, inclusiv finanțatori și beneficiari. </w:t>
      </w:r>
    </w:p>
    <w:p w14:paraId="0940FCBB" w14:textId="5C887CE6" w:rsidR="000169EF" w:rsidRPr="00483DC7" w:rsidRDefault="000169EF" w:rsidP="004B633C">
      <w:pPr>
        <w:spacing w:after="0" w:line="276" w:lineRule="auto"/>
        <w:ind w:firstLine="709"/>
        <w:jc w:val="both"/>
        <w:rPr>
          <w:rFonts w:ascii="Times New Roman" w:eastAsia="Times New Roman" w:hAnsi="Times New Roman" w:cs="Times New Roman"/>
          <w:color w:val="000000" w:themeColor="text1"/>
          <w:sz w:val="24"/>
          <w:szCs w:val="24"/>
          <w:lang w:val="ro-MD" w:eastAsia="ru-RU"/>
        </w:rPr>
      </w:pPr>
      <w:r w:rsidRPr="00483DC7">
        <w:rPr>
          <w:rFonts w:ascii="Times New Roman" w:hAnsi="Times New Roman" w:cs="Times New Roman"/>
          <w:sz w:val="24"/>
          <w:szCs w:val="24"/>
          <w:lang w:val="ro-MD"/>
        </w:rPr>
        <w:t xml:space="preserve">Activitatea UIPFAE este esențială pentru asigurarea unei utilizări eficiente și conforme a resurselor externe. Prin planificarea, gestionarea, monitorizarea și raportarea adecvată, aceste unități joacă un rol crucial în implementarea cu succes a proiectelor de dezvoltare. În același timp, </w:t>
      </w:r>
      <w:r w:rsidR="0079268D" w:rsidRPr="00483DC7">
        <w:rPr>
          <w:rFonts w:ascii="Times New Roman" w:hAnsi="Times New Roman" w:cs="Times New Roman"/>
          <w:sz w:val="24"/>
          <w:szCs w:val="24"/>
          <w:lang w:val="ro-MD"/>
        </w:rPr>
        <w:t>performanța activității</w:t>
      </w:r>
      <w:r w:rsidRPr="00483DC7">
        <w:rPr>
          <w:rFonts w:ascii="Times New Roman" w:hAnsi="Times New Roman" w:cs="Times New Roman"/>
          <w:sz w:val="24"/>
          <w:szCs w:val="24"/>
          <w:lang w:val="ro-MD"/>
        </w:rPr>
        <w:t xml:space="preserve"> și gestionarea riscurilor sunt componente fundamentale ale mandatului</w:t>
      </w:r>
      <w:r w:rsidR="0079268D" w:rsidRPr="00483DC7">
        <w:rPr>
          <w:rFonts w:ascii="Times New Roman" w:hAnsi="Times New Roman" w:cs="Times New Roman"/>
          <w:sz w:val="24"/>
          <w:szCs w:val="24"/>
          <w:lang w:val="ro-MD"/>
        </w:rPr>
        <w:t xml:space="preserve"> UIPFAE</w:t>
      </w:r>
      <w:r w:rsidRPr="00483DC7">
        <w:rPr>
          <w:rFonts w:ascii="Times New Roman" w:hAnsi="Times New Roman" w:cs="Times New Roman"/>
          <w:sz w:val="24"/>
          <w:szCs w:val="24"/>
          <w:lang w:val="ro-MD"/>
        </w:rPr>
        <w:t>, contribuind la atingerea obiectivelor de dezvoltare și la promovarea transparenței și responsabilității în cadrul asistenței externe.</w:t>
      </w:r>
    </w:p>
    <w:p w14:paraId="1D2C573F" w14:textId="121DD1E3" w:rsidR="000169EF" w:rsidRPr="00483DC7" w:rsidRDefault="000169EF" w:rsidP="000169EF">
      <w:pPr>
        <w:spacing w:before="240" w:after="0"/>
        <w:ind w:firstLine="709"/>
        <w:jc w:val="right"/>
        <w:rPr>
          <w:rFonts w:ascii="Times New Roman" w:hAnsi="Times New Roman" w:cs="Times New Roman"/>
          <w:b/>
          <w:bCs/>
          <w:sz w:val="20"/>
          <w:szCs w:val="20"/>
          <w:lang w:val="ro-MD" w:eastAsia="ru-RU"/>
        </w:rPr>
      </w:pPr>
      <w:r w:rsidRPr="00483DC7">
        <w:rPr>
          <w:rFonts w:ascii="Times New Roman" w:hAnsi="Times New Roman" w:cs="Times New Roman"/>
          <w:b/>
          <w:bCs/>
          <w:sz w:val="20"/>
          <w:szCs w:val="20"/>
          <w:lang w:val="ro-MD" w:eastAsia="ru-RU"/>
        </w:rPr>
        <w:t>Figura nr.2: Descrierea grafică a procesului de management al asistenței externe</w:t>
      </w:r>
    </w:p>
    <w:p w14:paraId="491BC009" w14:textId="77777777" w:rsidR="000169EF" w:rsidRPr="00483DC7" w:rsidRDefault="000169EF" w:rsidP="000169EF">
      <w:pPr>
        <w:spacing w:after="0"/>
        <w:jc w:val="center"/>
        <w:rPr>
          <w:rFonts w:ascii="Times New Roman" w:hAnsi="Times New Roman" w:cs="Times New Roman"/>
          <w:bCs/>
          <w:sz w:val="20"/>
          <w:szCs w:val="20"/>
          <w:lang w:val="ro-MD" w:eastAsia="ru-RU"/>
        </w:rPr>
      </w:pPr>
      <w:r w:rsidRPr="00483DC7">
        <w:rPr>
          <w:rFonts w:ascii="Times New Roman" w:hAnsi="Times New Roman" w:cs="Times New Roman"/>
          <w:bCs/>
          <w:noProof/>
          <w:sz w:val="20"/>
          <w:szCs w:val="20"/>
        </w:rPr>
        <w:drawing>
          <wp:inline distT="0" distB="0" distL="0" distR="0" wp14:anchorId="0F6969FD" wp14:editId="6ECE13E3">
            <wp:extent cx="5915025" cy="2369820"/>
            <wp:effectExtent l="0" t="0" r="28575"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A3034B" w14:textId="77777777" w:rsidR="000169EF" w:rsidRPr="00483DC7" w:rsidRDefault="000169EF" w:rsidP="000169EF">
      <w:pPr>
        <w:ind w:firstLine="709"/>
        <w:jc w:val="center"/>
        <w:rPr>
          <w:rFonts w:ascii="Times New Roman" w:hAnsi="Times New Roman" w:cs="Times New Roman"/>
          <w:bCs/>
          <w:i/>
          <w:sz w:val="20"/>
          <w:szCs w:val="20"/>
          <w:lang w:val="ro-MD" w:eastAsia="ru-RU"/>
        </w:rPr>
      </w:pPr>
      <w:r w:rsidRPr="00483DC7">
        <w:rPr>
          <w:rFonts w:ascii="Times New Roman" w:hAnsi="Times New Roman" w:cs="Times New Roman"/>
          <w:bCs/>
          <w:i/>
          <w:sz w:val="20"/>
          <w:szCs w:val="20"/>
          <w:lang w:val="ro-MD" w:eastAsia="ru-RU"/>
        </w:rPr>
        <w:t>Sursa: Elaborat de către audit în baza prevederilor HG nr.377/2018.</w:t>
      </w:r>
    </w:p>
    <w:p w14:paraId="30C22EE9" w14:textId="6EFD6490" w:rsidR="00B67BD7" w:rsidRPr="00483DC7" w:rsidRDefault="00B67BD7" w:rsidP="00B67BD7">
      <w:pPr>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Informați</w:t>
      </w:r>
      <w:r w:rsidR="00393710">
        <w:rPr>
          <w:rFonts w:ascii="Times New Roman" w:hAnsi="Times New Roman" w:cs="Times New Roman"/>
          <w:bCs/>
          <w:sz w:val="24"/>
          <w:szCs w:val="24"/>
          <w:lang w:val="ro-MD" w:eastAsia="ru-RU"/>
        </w:rPr>
        <w:t>i</w:t>
      </w:r>
      <w:r w:rsidRPr="00483DC7">
        <w:rPr>
          <w:rFonts w:ascii="Times New Roman" w:hAnsi="Times New Roman" w:cs="Times New Roman"/>
          <w:bCs/>
          <w:sz w:val="24"/>
          <w:szCs w:val="24"/>
          <w:lang w:val="ro-MD" w:eastAsia="ru-RU"/>
        </w:rPr>
        <w:t xml:space="preserve"> detaliat</w:t>
      </w:r>
      <w:r w:rsidR="00393710">
        <w:rPr>
          <w:rFonts w:ascii="Times New Roman" w:hAnsi="Times New Roman" w:cs="Times New Roman"/>
          <w:bCs/>
          <w:sz w:val="24"/>
          <w:szCs w:val="24"/>
          <w:lang w:val="ro-MD" w:eastAsia="ru-RU"/>
        </w:rPr>
        <w:t>e</w:t>
      </w:r>
      <w:r w:rsidRPr="00483DC7">
        <w:rPr>
          <w:rFonts w:ascii="Times New Roman" w:hAnsi="Times New Roman" w:cs="Times New Roman"/>
          <w:bCs/>
          <w:sz w:val="24"/>
          <w:szCs w:val="24"/>
          <w:lang w:val="ro-MD" w:eastAsia="ru-RU"/>
        </w:rPr>
        <w:t xml:space="preserve"> cu privire la principalii indicatori aferenți asistenței externe recepționate pe parcursul anilor 2022-2023, se prezintă în </w:t>
      </w:r>
      <w:r w:rsidR="004B633C" w:rsidRPr="00483DC7">
        <w:rPr>
          <w:rFonts w:ascii="Times New Roman" w:hAnsi="Times New Roman" w:cs="Times New Roman"/>
          <w:b/>
          <w:bCs/>
          <w:sz w:val="24"/>
          <w:szCs w:val="24"/>
          <w:lang w:val="ro-MD" w:eastAsia="ru-RU"/>
        </w:rPr>
        <w:t>Anexa</w:t>
      </w:r>
      <w:r w:rsidRPr="00483DC7">
        <w:rPr>
          <w:rFonts w:ascii="Times New Roman" w:hAnsi="Times New Roman" w:cs="Times New Roman"/>
          <w:b/>
          <w:bCs/>
          <w:sz w:val="24"/>
          <w:szCs w:val="24"/>
          <w:lang w:val="ro-MD" w:eastAsia="ru-RU"/>
        </w:rPr>
        <w:t xml:space="preserve"> nr.</w:t>
      </w:r>
      <w:r w:rsidR="004B633C" w:rsidRPr="00483DC7">
        <w:rPr>
          <w:rFonts w:ascii="Times New Roman" w:hAnsi="Times New Roman" w:cs="Times New Roman"/>
          <w:b/>
          <w:bCs/>
          <w:sz w:val="24"/>
          <w:szCs w:val="24"/>
          <w:lang w:val="ro-MD" w:eastAsia="ru-RU"/>
        </w:rPr>
        <w:t>2</w:t>
      </w:r>
      <w:r w:rsidR="00275B34">
        <w:rPr>
          <w:rFonts w:ascii="Times New Roman" w:hAnsi="Times New Roman" w:cs="Times New Roman"/>
          <w:b/>
          <w:bCs/>
          <w:sz w:val="24"/>
          <w:szCs w:val="24"/>
          <w:lang w:val="ro-MD" w:eastAsia="ru-RU"/>
        </w:rPr>
        <w:t xml:space="preserve"> la Raportul de audit</w:t>
      </w:r>
      <w:r w:rsidRPr="00483DC7">
        <w:rPr>
          <w:rFonts w:ascii="Times New Roman" w:hAnsi="Times New Roman" w:cs="Times New Roman"/>
          <w:bCs/>
          <w:sz w:val="24"/>
          <w:szCs w:val="24"/>
          <w:lang w:val="ro-MD" w:eastAsia="ru-RU"/>
        </w:rPr>
        <w:t>.</w:t>
      </w:r>
    </w:p>
    <w:p w14:paraId="07C186F3" w14:textId="7B548E0B" w:rsidR="00B67BD7" w:rsidRPr="00483DC7" w:rsidRDefault="00B67BD7" w:rsidP="00B67BD7">
      <w:pPr>
        <w:pStyle w:val="Heading1"/>
        <w:jc w:val="center"/>
        <w:rPr>
          <w:rFonts w:ascii="Times New Roman" w:hAnsi="Times New Roman" w:cs="Times New Roman"/>
          <w:b/>
          <w:color w:val="auto"/>
          <w:sz w:val="24"/>
          <w:szCs w:val="24"/>
          <w:lang w:val="ro-MD" w:eastAsia="ru-RU"/>
        </w:rPr>
      </w:pPr>
      <w:r w:rsidRPr="00483DC7">
        <w:rPr>
          <w:rFonts w:ascii="Times New Roman" w:hAnsi="Times New Roman" w:cs="Times New Roman"/>
          <w:b/>
          <w:color w:val="auto"/>
          <w:sz w:val="24"/>
          <w:szCs w:val="24"/>
          <w:lang w:val="ro-MD" w:eastAsia="ru-RU"/>
        </w:rPr>
        <w:br w:type="page"/>
      </w:r>
      <w:bookmarkStart w:id="7" w:name="_Toc185943213"/>
      <w:r w:rsidRPr="00483DC7">
        <w:rPr>
          <w:rFonts w:ascii="Times New Roman" w:hAnsi="Times New Roman" w:cs="Times New Roman"/>
          <w:b/>
          <w:color w:val="auto"/>
          <w:sz w:val="24"/>
          <w:szCs w:val="24"/>
          <w:lang w:val="ro-MD" w:eastAsia="ru-RU"/>
        </w:rPr>
        <w:lastRenderedPageBreak/>
        <w:t>III. SFERA ȘI ABORDAREA AUDITULUI</w:t>
      </w:r>
      <w:bookmarkEnd w:id="7"/>
    </w:p>
    <w:p w14:paraId="2662C443" w14:textId="77777777" w:rsidR="00B67BD7" w:rsidRPr="00483DC7" w:rsidRDefault="00B67BD7" w:rsidP="00B67BD7">
      <w:pPr>
        <w:pStyle w:val="Heading2"/>
        <w:spacing w:before="0" w:line="276" w:lineRule="auto"/>
        <w:rPr>
          <w:rFonts w:ascii="Times New Roman" w:hAnsi="Times New Roman" w:cs="Times New Roman"/>
          <w:b/>
          <w:bCs/>
          <w:color w:val="auto"/>
          <w:sz w:val="24"/>
          <w:szCs w:val="24"/>
          <w:lang w:val="ro-MD"/>
        </w:rPr>
      </w:pPr>
      <w:bookmarkStart w:id="8" w:name="_Toc180532853"/>
      <w:bookmarkStart w:id="9" w:name="_Toc185943214"/>
      <w:r w:rsidRPr="00483DC7">
        <w:rPr>
          <w:rFonts w:ascii="Times New Roman" w:hAnsi="Times New Roman" w:cs="Times New Roman"/>
          <w:b/>
          <w:bCs/>
          <w:color w:val="auto"/>
          <w:sz w:val="24"/>
          <w:szCs w:val="24"/>
          <w:lang w:val="ro-MD"/>
        </w:rPr>
        <w:t>3.1. Temeiul auditului</w:t>
      </w:r>
      <w:bookmarkEnd w:id="8"/>
      <w:bookmarkEnd w:id="9"/>
    </w:p>
    <w:p w14:paraId="361009B8" w14:textId="7163F8A1" w:rsidR="00B67BD7" w:rsidRPr="00483DC7" w:rsidRDefault="00B67BD7" w:rsidP="00B67BD7">
      <w:pPr>
        <w:spacing w:after="0"/>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Auditul a fost inițiat în temeiul art.31 și art.32 din Legea privind organizarea și funcționarea Curții de Conturi a Republicii Moldova nr.260 din 07.12.2017, în conformitate cu Programul activității de audit pe anul 2024</w:t>
      </w:r>
      <w:r w:rsidRPr="00483DC7">
        <w:rPr>
          <w:rStyle w:val="FootnoteReference"/>
          <w:rFonts w:ascii="Times New Roman" w:hAnsi="Times New Roman" w:cs="Times New Roman"/>
          <w:bCs/>
          <w:sz w:val="24"/>
          <w:szCs w:val="24"/>
          <w:lang w:val="ro-MD" w:eastAsia="ru-RU"/>
        </w:rPr>
        <w:footnoteReference w:id="12"/>
      </w:r>
      <w:r w:rsidRPr="00483DC7">
        <w:rPr>
          <w:rFonts w:ascii="Times New Roman" w:hAnsi="Times New Roman" w:cs="Times New Roman"/>
          <w:bCs/>
          <w:sz w:val="24"/>
          <w:szCs w:val="24"/>
          <w:lang w:val="ro-MD" w:eastAsia="ru-RU"/>
        </w:rPr>
        <w:t>.</w:t>
      </w:r>
    </w:p>
    <w:p w14:paraId="2051A758" w14:textId="24E5A85C" w:rsidR="00B67BD7" w:rsidRPr="00483DC7" w:rsidRDefault="00B67BD7" w:rsidP="00B67BD7">
      <w:pPr>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Misiunea de audit a fost realizată cu scopul de a evalua performanța activității unităților de coordonare, implementare și monitorizare a proiectelor finanțate prin asistență externă, cu oferirea de analize/perspective și recomandări de îmbunătățire în im</w:t>
      </w:r>
      <w:r w:rsidR="00393710">
        <w:rPr>
          <w:rFonts w:ascii="Times New Roman" w:hAnsi="Times New Roman" w:cs="Times New Roman"/>
          <w:bCs/>
          <w:sz w:val="24"/>
          <w:szCs w:val="24"/>
          <w:lang w:val="ro-MD" w:eastAsia="ru-RU"/>
        </w:rPr>
        <w:t>plementarea politicilor publice respective.</w:t>
      </w:r>
    </w:p>
    <w:p w14:paraId="778DAA17" w14:textId="77777777" w:rsidR="00B67BD7" w:rsidRPr="00483DC7" w:rsidRDefault="00B67BD7" w:rsidP="00B67BD7">
      <w:pPr>
        <w:pStyle w:val="Heading2"/>
        <w:spacing w:line="276" w:lineRule="auto"/>
        <w:rPr>
          <w:rFonts w:ascii="Times New Roman" w:hAnsi="Times New Roman" w:cs="Times New Roman"/>
          <w:b/>
          <w:bCs/>
          <w:color w:val="auto"/>
          <w:sz w:val="24"/>
          <w:szCs w:val="24"/>
          <w:lang w:val="ro-MD"/>
        </w:rPr>
      </w:pPr>
      <w:bookmarkStart w:id="10" w:name="_Toc180532854"/>
      <w:bookmarkStart w:id="11" w:name="_Toc185943215"/>
      <w:r w:rsidRPr="00483DC7">
        <w:rPr>
          <w:rFonts w:ascii="Times New Roman" w:hAnsi="Times New Roman" w:cs="Times New Roman"/>
          <w:b/>
          <w:bCs/>
          <w:color w:val="auto"/>
          <w:sz w:val="24"/>
          <w:szCs w:val="24"/>
          <w:lang w:val="ro-MD"/>
        </w:rPr>
        <w:t>3.2. Sfera de audit</w:t>
      </w:r>
      <w:bookmarkEnd w:id="10"/>
      <w:bookmarkEnd w:id="11"/>
    </w:p>
    <w:p w14:paraId="10C32D5E" w14:textId="679B746F" w:rsidR="00B67BD7" w:rsidRPr="00483DC7" w:rsidRDefault="00B67BD7" w:rsidP="00B67BD7">
      <w:pPr>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Misiunea de audit a cuprins activitățile realizate în perioada 2022-2023 de către unitățile de coordonare, implementare și monitorizare a proiectelor finanțate prin asistență externă</w:t>
      </w:r>
      <w:r w:rsidR="00324767">
        <w:rPr>
          <w:rFonts w:ascii="Times New Roman" w:hAnsi="Times New Roman" w:cs="Times New Roman"/>
          <w:bCs/>
          <w:sz w:val="24"/>
          <w:szCs w:val="24"/>
          <w:lang w:val="ro-MD" w:eastAsia="ru-RU"/>
        </w:rPr>
        <w:t xml:space="preserve"> și autorităților publice centrale cărora sunt subordonate</w:t>
      </w:r>
      <w:r w:rsidRPr="00483DC7">
        <w:rPr>
          <w:rFonts w:ascii="Times New Roman" w:hAnsi="Times New Roman" w:cs="Times New Roman"/>
          <w:bCs/>
          <w:sz w:val="24"/>
          <w:szCs w:val="24"/>
          <w:lang w:val="ro-MD" w:eastAsia="ru-RU"/>
        </w:rPr>
        <w:t xml:space="preserve">: MAIA, MDED, ME, MF, MIDR, MJ, MM, MS, ADMA, OGPAE, ONIPM, ONDRL, UCIMPA, UCIMP DS, UCIMPRSVV, UCIPE, UCIP IFAD, UIPAC, UIPCLPSV II și UIPCPC.  </w:t>
      </w:r>
    </w:p>
    <w:p w14:paraId="2AB0301D" w14:textId="77777777" w:rsidR="00B67BD7" w:rsidRPr="00483DC7" w:rsidRDefault="00B67BD7" w:rsidP="00B67BD7">
      <w:pPr>
        <w:pStyle w:val="Heading2"/>
        <w:spacing w:line="276" w:lineRule="auto"/>
        <w:rPr>
          <w:rFonts w:ascii="Times New Roman" w:hAnsi="Times New Roman" w:cs="Times New Roman"/>
          <w:b/>
          <w:bCs/>
          <w:color w:val="auto"/>
          <w:sz w:val="24"/>
          <w:szCs w:val="24"/>
          <w:lang w:val="ro-MD"/>
        </w:rPr>
      </w:pPr>
      <w:bookmarkStart w:id="12" w:name="_Toc180532855"/>
      <w:bookmarkStart w:id="13" w:name="_Toc185943216"/>
      <w:r w:rsidRPr="00483DC7">
        <w:rPr>
          <w:rFonts w:ascii="Times New Roman" w:hAnsi="Times New Roman" w:cs="Times New Roman"/>
          <w:b/>
          <w:bCs/>
          <w:color w:val="auto"/>
          <w:sz w:val="24"/>
          <w:szCs w:val="24"/>
          <w:lang w:val="ro-MD"/>
        </w:rPr>
        <w:t>3.3. Întrebarea generală de audit și întrebările specifice de audit</w:t>
      </w:r>
      <w:bookmarkEnd w:id="12"/>
      <w:bookmarkEnd w:id="13"/>
    </w:p>
    <w:p w14:paraId="44328E85" w14:textId="4FA77A6C" w:rsidR="00B67BD7" w:rsidRPr="00483DC7" w:rsidRDefault="00B67BD7" w:rsidP="00B67BD7">
      <w:pPr>
        <w:spacing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Reieșind din deficiențele și riscurile identificate, ținând cont de resursele alocate auditului, a fost formulată </w:t>
      </w:r>
      <w:r w:rsidRPr="00483DC7">
        <w:rPr>
          <w:rFonts w:ascii="Times New Roman" w:hAnsi="Times New Roman" w:cs="Times New Roman"/>
          <w:b/>
          <w:sz w:val="24"/>
          <w:szCs w:val="24"/>
          <w:lang w:val="ro-MD"/>
        </w:rPr>
        <w:t xml:space="preserve">întrebarea generală de audit: </w:t>
      </w:r>
      <w:r w:rsidRPr="00483DC7">
        <w:rPr>
          <w:rFonts w:ascii="Times New Roman" w:hAnsi="Times New Roman" w:cs="Times New Roman"/>
          <w:i/>
          <w:sz w:val="24"/>
          <w:szCs w:val="24"/>
          <w:lang w:val="ro-MD"/>
        </w:rPr>
        <w:t>„Crearea, supravegherea și controlul activității UIP</w:t>
      </w:r>
      <w:r w:rsidR="0081674B" w:rsidRPr="00483DC7">
        <w:rPr>
          <w:rFonts w:ascii="Times New Roman" w:hAnsi="Times New Roman" w:cs="Times New Roman"/>
          <w:i/>
          <w:sz w:val="24"/>
          <w:szCs w:val="24"/>
          <w:lang w:val="ro-MD"/>
        </w:rPr>
        <w:t>FAE</w:t>
      </w:r>
      <w:r w:rsidRPr="00483DC7">
        <w:rPr>
          <w:rFonts w:ascii="Times New Roman" w:hAnsi="Times New Roman" w:cs="Times New Roman"/>
          <w:i/>
          <w:sz w:val="24"/>
          <w:szCs w:val="24"/>
          <w:lang w:val="ro-MD"/>
        </w:rPr>
        <w:t xml:space="preserve"> asigură un management transparent și eficace în vederea realizării obiectivelor setate la etapa de programare?”</w:t>
      </w:r>
      <w:r w:rsidRPr="00483DC7">
        <w:rPr>
          <w:rFonts w:ascii="Times New Roman" w:hAnsi="Times New Roman" w:cs="Times New Roman"/>
          <w:sz w:val="24"/>
          <w:szCs w:val="24"/>
          <w:lang w:val="ro-MD"/>
        </w:rPr>
        <w:t xml:space="preserve">, precum și următoarele </w:t>
      </w:r>
      <w:r w:rsidRPr="00483DC7">
        <w:rPr>
          <w:rFonts w:ascii="Times New Roman" w:hAnsi="Times New Roman" w:cs="Times New Roman"/>
          <w:b/>
          <w:sz w:val="24"/>
          <w:szCs w:val="24"/>
          <w:lang w:val="ro-MD"/>
        </w:rPr>
        <w:t>întrebări specifice și subîntrebări</w:t>
      </w:r>
      <w:r w:rsidRPr="00483DC7">
        <w:rPr>
          <w:rFonts w:ascii="Times New Roman" w:hAnsi="Times New Roman" w:cs="Times New Roman"/>
          <w:sz w:val="24"/>
          <w:szCs w:val="24"/>
          <w:lang w:val="ro-MD"/>
        </w:rPr>
        <w:t>:</w:t>
      </w:r>
    </w:p>
    <w:p w14:paraId="629250D1" w14:textId="54EA7A0C" w:rsidR="00B67BD7" w:rsidRPr="00483DC7" w:rsidRDefault="00B67BD7" w:rsidP="00B67BD7">
      <w:pPr>
        <w:spacing w:after="0" w:line="276" w:lineRule="auto"/>
        <w:jc w:val="both"/>
        <w:rPr>
          <w:rFonts w:ascii="Times New Roman" w:hAnsi="Times New Roman" w:cs="Times New Roman"/>
          <w:b/>
          <w:i/>
          <w:sz w:val="24"/>
          <w:szCs w:val="24"/>
          <w:lang w:val="ro-MD"/>
        </w:rPr>
      </w:pPr>
      <w:r w:rsidRPr="00483DC7">
        <w:rPr>
          <w:rFonts w:ascii="Times New Roman" w:hAnsi="Times New Roman" w:cs="Times New Roman"/>
          <w:b/>
          <w:i/>
          <w:sz w:val="24"/>
          <w:szCs w:val="24"/>
          <w:lang w:val="ro-MD"/>
        </w:rPr>
        <w:t xml:space="preserve">1. </w:t>
      </w:r>
      <w:r w:rsidRPr="00483DC7">
        <w:rPr>
          <w:rFonts w:ascii="Times New Roman" w:hAnsi="Times New Roman" w:cs="Times New Roman"/>
          <w:i/>
          <w:sz w:val="24"/>
          <w:szCs w:val="24"/>
          <w:lang w:val="ro-MD"/>
        </w:rPr>
        <w:t>Documentele de politici (strategiile și politicile publice naționale)</w:t>
      </w:r>
      <w:r w:rsidR="00275B34">
        <w:rPr>
          <w:rFonts w:ascii="Times New Roman" w:hAnsi="Times New Roman" w:cs="Times New Roman"/>
          <w:i/>
          <w:sz w:val="24"/>
          <w:szCs w:val="24"/>
          <w:lang w:val="ro-MD"/>
        </w:rPr>
        <w:t>,</w:t>
      </w:r>
      <w:r w:rsidRPr="00483DC7">
        <w:rPr>
          <w:rFonts w:ascii="Times New Roman" w:hAnsi="Times New Roman" w:cs="Times New Roman"/>
          <w:i/>
          <w:sz w:val="24"/>
          <w:szCs w:val="24"/>
          <w:lang w:val="ro-MD"/>
        </w:rPr>
        <w:t xml:space="preserve"> precum și cadrul de reglementare conțin obiective clar delimitate pentru fiecare parte implicată în proces?</w:t>
      </w:r>
      <w:r w:rsidRPr="00483DC7">
        <w:rPr>
          <w:rFonts w:ascii="Times New Roman" w:hAnsi="Times New Roman" w:cs="Times New Roman"/>
          <w:b/>
          <w:i/>
          <w:sz w:val="24"/>
          <w:szCs w:val="24"/>
          <w:lang w:val="ro-MD"/>
        </w:rPr>
        <w:t xml:space="preserve"> </w:t>
      </w:r>
    </w:p>
    <w:p w14:paraId="22334D3A" w14:textId="77777777" w:rsidR="00B67BD7" w:rsidRPr="00483DC7" w:rsidRDefault="00B67BD7" w:rsidP="00B67BD7">
      <w:pPr>
        <w:spacing w:after="0" w:line="276" w:lineRule="auto"/>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1.1. Mandatul atribuit UIPFAE este suficient și adecvat pentru realizarea scopului și misiunii stabilit la crearea acestora?</w:t>
      </w:r>
    </w:p>
    <w:p w14:paraId="252661BE" w14:textId="77777777" w:rsidR="00B67BD7" w:rsidRPr="00483DC7" w:rsidRDefault="00B67BD7" w:rsidP="00B67BD7">
      <w:pPr>
        <w:spacing w:after="0" w:line="276" w:lineRule="auto"/>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1.2. Activitatea UIPFAE este evaluată în baza unor indicatori de performanță SMART (specific, măsurabil, abordabil/de atins, relevat și încadrat în timp)?</w:t>
      </w:r>
    </w:p>
    <w:p w14:paraId="4C808E4A" w14:textId="77777777" w:rsidR="00B67BD7" w:rsidRPr="00483DC7" w:rsidRDefault="00B67BD7" w:rsidP="00B67BD7">
      <w:pPr>
        <w:spacing w:before="240" w:after="0" w:line="276" w:lineRule="auto"/>
        <w:jc w:val="both"/>
        <w:rPr>
          <w:rFonts w:ascii="Times New Roman" w:hAnsi="Times New Roman" w:cs="Times New Roman"/>
          <w:b/>
          <w:i/>
          <w:sz w:val="24"/>
          <w:szCs w:val="24"/>
          <w:lang w:val="ro-MD"/>
        </w:rPr>
      </w:pPr>
      <w:r w:rsidRPr="00483DC7">
        <w:rPr>
          <w:rFonts w:ascii="Times New Roman" w:hAnsi="Times New Roman" w:cs="Times New Roman"/>
          <w:b/>
          <w:i/>
          <w:sz w:val="24"/>
          <w:szCs w:val="24"/>
          <w:lang w:val="ro-MD"/>
        </w:rPr>
        <w:t xml:space="preserve">2. </w:t>
      </w:r>
      <w:r w:rsidRPr="00483DC7">
        <w:rPr>
          <w:rFonts w:ascii="Times New Roman" w:hAnsi="Times New Roman" w:cs="Times New Roman"/>
          <w:i/>
          <w:sz w:val="24"/>
          <w:szCs w:val="24"/>
          <w:lang w:val="ro-MD"/>
        </w:rPr>
        <w:t>Obiectivele setate la etapa de programare, pentru UIPFAE, au fost realizate?</w:t>
      </w:r>
      <w:r w:rsidRPr="00483DC7">
        <w:rPr>
          <w:rFonts w:ascii="Times New Roman" w:hAnsi="Times New Roman" w:cs="Times New Roman"/>
          <w:b/>
          <w:i/>
          <w:sz w:val="24"/>
          <w:szCs w:val="24"/>
          <w:lang w:val="ro-MD"/>
        </w:rPr>
        <w:t xml:space="preserve"> </w:t>
      </w:r>
    </w:p>
    <w:p w14:paraId="7ADF85AB" w14:textId="3CCD31A4" w:rsidR="00B67BD7" w:rsidRPr="00483DC7" w:rsidRDefault="00B67BD7" w:rsidP="00B67BD7">
      <w:pPr>
        <w:spacing w:after="0" w:line="276" w:lineRule="auto"/>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2.1. Resursele alocate UIPFAE pentru realizarea obiectivelor trasate au fost utilizate în mod econom, eficient și eficace, în concordanță</w:t>
      </w:r>
      <w:r w:rsidR="00393710">
        <w:rPr>
          <w:rFonts w:ascii="Times New Roman" w:hAnsi="Times New Roman" w:cs="Times New Roman"/>
          <w:sz w:val="24"/>
          <w:szCs w:val="24"/>
          <w:lang w:val="ro-MD"/>
        </w:rPr>
        <w:t xml:space="preserve"> cu principiile bunei guvernări</w:t>
      </w:r>
      <w:r w:rsidRPr="00483DC7">
        <w:rPr>
          <w:rFonts w:ascii="Times New Roman" w:hAnsi="Times New Roman" w:cs="Times New Roman"/>
          <w:sz w:val="24"/>
          <w:szCs w:val="24"/>
          <w:lang w:val="ro-MD"/>
        </w:rPr>
        <w:t>?</w:t>
      </w:r>
    </w:p>
    <w:p w14:paraId="6C17FAB0" w14:textId="62309ED5" w:rsidR="00B67BD7" w:rsidRPr="00483DC7" w:rsidRDefault="00B67BD7" w:rsidP="00B67BD7">
      <w:pPr>
        <w:jc w:val="both"/>
        <w:rPr>
          <w:rFonts w:ascii="Times New Roman" w:hAnsi="Times New Roman" w:cs="Times New Roman"/>
          <w:bCs/>
          <w:sz w:val="24"/>
          <w:szCs w:val="24"/>
          <w:lang w:val="ro-MD" w:eastAsia="ru-RU"/>
        </w:rPr>
      </w:pPr>
      <w:r w:rsidRPr="00483DC7">
        <w:rPr>
          <w:rFonts w:ascii="Times New Roman" w:hAnsi="Times New Roman" w:cs="Times New Roman"/>
          <w:sz w:val="24"/>
          <w:szCs w:val="24"/>
          <w:lang w:val="ro-MD"/>
        </w:rPr>
        <w:t xml:space="preserve">2.2. Rezultatele obținute de către UIPFAE produc un impact pozitiv asupra domeniilor </w:t>
      </w:r>
      <w:r w:rsidR="00393710">
        <w:rPr>
          <w:rFonts w:ascii="Times New Roman" w:hAnsi="Times New Roman" w:cs="Times New Roman"/>
          <w:sz w:val="24"/>
          <w:szCs w:val="24"/>
          <w:lang w:val="ro-MD"/>
        </w:rPr>
        <w:t>lor</w:t>
      </w:r>
      <w:r w:rsidRPr="00483DC7">
        <w:rPr>
          <w:rFonts w:ascii="Times New Roman" w:hAnsi="Times New Roman" w:cs="Times New Roman"/>
          <w:sz w:val="24"/>
          <w:szCs w:val="24"/>
          <w:lang w:val="ro-MD"/>
        </w:rPr>
        <w:t xml:space="preserve"> de competență?</w:t>
      </w:r>
    </w:p>
    <w:p w14:paraId="6EF91EA8" w14:textId="77777777" w:rsidR="00B67BD7" w:rsidRPr="00483DC7" w:rsidRDefault="00B67BD7" w:rsidP="00B67BD7">
      <w:pPr>
        <w:pStyle w:val="Heading2"/>
        <w:spacing w:line="276" w:lineRule="auto"/>
        <w:rPr>
          <w:rFonts w:ascii="Times New Roman" w:hAnsi="Times New Roman" w:cs="Times New Roman"/>
          <w:b/>
          <w:bCs/>
          <w:color w:val="auto"/>
          <w:sz w:val="24"/>
          <w:szCs w:val="24"/>
          <w:lang w:val="ro-MD"/>
        </w:rPr>
      </w:pPr>
      <w:bookmarkStart w:id="14" w:name="_Toc180532856"/>
      <w:bookmarkStart w:id="15" w:name="_Toc185943217"/>
      <w:r w:rsidRPr="00483DC7">
        <w:rPr>
          <w:rFonts w:ascii="Times New Roman" w:hAnsi="Times New Roman" w:cs="Times New Roman"/>
          <w:b/>
          <w:bCs/>
          <w:color w:val="auto"/>
          <w:sz w:val="24"/>
          <w:szCs w:val="24"/>
          <w:lang w:val="ro-MD"/>
        </w:rPr>
        <w:t>3.4. Abordarea de audit</w:t>
      </w:r>
      <w:bookmarkEnd w:id="14"/>
      <w:bookmarkEnd w:id="15"/>
    </w:p>
    <w:p w14:paraId="661A0273" w14:textId="4D3EB91F" w:rsidR="00B67BD7" w:rsidRPr="00483DC7" w:rsidRDefault="00B67BD7" w:rsidP="00B67BD7">
      <w:pPr>
        <w:spacing w:after="0"/>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Abordarea de audit </w:t>
      </w:r>
      <w:r w:rsidR="004B633C" w:rsidRPr="00483DC7">
        <w:rPr>
          <w:rFonts w:ascii="Times New Roman" w:hAnsi="Times New Roman" w:cs="Times New Roman"/>
          <w:bCs/>
          <w:sz w:val="24"/>
          <w:szCs w:val="24"/>
          <w:lang w:val="ro-MD" w:eastAsia="ru-RU"/>
        </w:rPr>
        <w:t>a fost orientat</w:t>
      </w:r>
      <w:r w:rsidR="005854E1" w:rsidRPr="00483DC7">
        <w:rPr>
          <w:rFonts w:ascii="Times New Roman" w:hAnsi="Times New Roman" w:cs="Times New Roman"/>
          <w:bCs/>
          <w:sz w:val="24"/>
          <w:szCs w:val="24"/>
          <w:lang w:val="ro-MD" w:eastAsia="ru-RU"/>
        </w:rPr>
        <w:t>ă</w:t>
      </w:r>
      <w:r w:rsidRPr="00483DC7">
        <w:rPr>
          <w:rFonts w:ascii="Times New Roman" w:hAnsi="Times New Roman" w:cs="Times New Roman"/>
          <w:bCs/>
          <w:sz w:val="24"/>
          <w:szCs w:val="24"/>
          <w:lang w:val="ro-MD" w:eastAsia="ru-RU"/>
        </w:rPr>
        <w:t xml:space="preserve">: </w:t>
      </w:r>
      <w:r w:rsidRPr="00483DC7">
        <w:rPr>
          <w:rFonts w:ascii="Times New Roman" w:hAnsi="Times New Roman" w:cs="Times New Roman"/>
          <w:bCs/>
          <w:i/>
          <w:sz w:val="24"/>
          <w:szCs w:val="24"/>
          <w:lang w:val="ro-MD" w:eastAsia="ru-RU"/>
        </w:rPr>
        <w:t>(i) pe sistem</w:t>
      </w:r>
      <w:r w:rsidRPr="00483DC7">
        <w:rPr>
          <w:rFonts w:ascii="Times New Roman" w:hAnsi="Times New Roman" w:cs="Times New Roman"/>
          <w:bCs/>
          <w:sz w:val="24"/>
          <w:szCs w:val="24"/>
          <w:lang w:val="ro-MD" w:eastAsia="ru-RU"/>
        </w:rPr>
        <w:t xml:space="preserve">, pentru a determina dacă entitățile auditate au elaborat și au pus în aplicare sisteme de control managerial care să permită asigurarea economicității, eficienței și eficacității resurselor alocate pentru implementarea proiectelor finanțate din surse externe, </w:t>
      </w:r>
      <w:r w:rsidRPr="00483DC7">
        <w:rPr>
          <w:rFonts w:ascii="Times New Roman" w:hAnsi="Times New Roman" w:cs="Times New Roman"/>
          <w:bCs/>
          <w:i/>
          <w:sz w:val="24"/>
          <w:szCs w:val="24"/>
          <w:lang w:val="ro-MD" w:eastAsia="ru-RU"/>
        </w:rPr>
        <w:t>(ii) pe probleme</w:t>
      </w:r>
      <w:r w:rsidRPr="00483DC7">
        <w:rPr>
          <w:rFonts w:ascii="Times New Roman" w:hAnsi="Times New Roman" w:cs="Times New Roman"/>
          <w:bCs/>
          <w:sz w:val="24"/>
          <w:szCs w:val="24"/>
          <w:lang w:val="ro-MD" w:eastAsia="ru-RU"/>
        </w:rPr>
        <w:t>, pentru a identifica, verifica și analiza problemele legate de nevalorificarea în volum deplin a beneficiilor asistenței externe.</w:t>
      </w:r>
    </w:p>
    <w:p w14:paraId="0EDCD384" w14:textId="2C6D685F" w:rsidR="00B67BD7" w:rsidRPr="00483DC7" w:rsidRDefault="00B67BD7" w:rsidP="00B67BD7">
      <w:pPr>
        <w:ind w:firstLine="709"/>
        <w:jc w:val="both"/>
        <w:rPr>
          <w:rFonts w:ascii="Times New Roman" w:hAnsi="Times New Roman" w:cs="Times New Roman"/>
          <w:bCs/>
          <w:sz w:val="24"/>
          <w:szCs w:val="24"/>
          <w:lang w:val="ro-MD" w:eastAsia="ru-RU"/>
        </w:rPr>
      </w:pPr>
      <w:r w:rsidRPr="00483DC7">
        <w:rPr>
          <w:rFonts w:ascii="Times New Roman" w:hAnsi="Times New Roman" w:cs="Times New Roman"/>
          <w:bCs/>
          <w:sz w:val="24"/>
          <w:szCs w:val="24"/>
          <w:lang w:val="ro-MD" w:eastAsia="ru-RU"/>
        </w:rPr>
        <w:t xml:space="preserve">Metodologia și criteriile de audit aplicate în cadrul misiunii se prezintă în </w:t>
      </w:r>
      <w:r w:rsidRPr="00275B34">
        <w:rPr>
          <w:rFonts w:ascii="Times New Roman" w:hAnsi="Times New Roman" w:cs="Times New Roman"/>
          <w:b/>
          <w:bCs/>
          <w:sz w:val="24"/>
          <w:szCs w:val="24"/>
          <w:lang w:val="ro-MD" w:eastAsia="ru-RU"/>
        </w:rPr>
        <w:t>Anexa nr. 1</w:t>
      </w:r>
      <w:r w:rsidR="00275B34" w:rsidRPr="00275B34">
        <w:rPr>
          <w:rFonts w:ascii="Times New Roman" w:hAnsi="Times New Roman" w:cs="Times New Roman"/>
          <w:b/>
          <w:bCs/>
          <w:sz w:val="24"/>
          <w:szCs w:val="24"/>
          <w:lang w:val="ro-MD" w:eastAsia="ru-RU"/>
        </w:rPr>
        <w:t xml:space="preserve"> la Raportul de audit.</w:t>
      </w:r>
      <w:r w:rsidRPr="00483DC7">
        <w:rPr>
          <w:rFonts w:ascii="Times New Roman" w:hAnsi="Times New Roman" w:cs="Times New Roman"/>
          <w:bCs/>
          <w:sz w:val="24"/>
          <w:szCs w:val="24"/>
          <w:lang w:val="ro-MD" w:eastAsia="ru-RU"/>
        </w:rPr>
        <w:t xml:space="preserve"> </w:t>
      </w:r>
    </w:p>
    <w:p w14:paraId="48AB2B58" w14:textId="77777777" w:rsidR="00B67BD7" w:rsidRPr="00483DC7" w:rsidRDefault="00B67BD7" w:rsidP="00B67BD7">
      <w:pPr>
        <w:pStyle w:val="Heading1"/>
        <w:jc w:val="center"/>
        <w:rPr>
          <w:rFonts w:ascii="Times New Roman" w:hAnsi="Times New Roman" w:cs="Times New Roman"/>
          <w:b/>
          <w:color w:val="auto"/>
          <w:sz w:val="24"/>
          <w:szCs w:val="24"/>
          <w:lang w:val="ro-MD" w:eastAsia="ru-RU"/>
        </w:rPr>
      </w:pPr>
      <w:r w:rsidRPr="00483DC7">
        <w:rPr>
          <w:rFonts w:ascii="Times New Roman" w:hAnsi="Times New Roman" w:cs="Times New Roman"/>
          <w:b/>
          <w:color w:val="auto"/>
          <w:sz w:val="24"/>
          <w:szCs w:val="24"/>
          <w:lang w:val="ro-MD" w:eastAsia="ru-RU"/>
        </w:rPr>
        <w:br w:type="page"/>
      </w:r>
    </w:p>
    <w:p w14:paraId="69AAB83E" w14:textId="77777777" w:rsidR="00B67BD7" w:rsidRPr="00483DC7" w:rsidRDefault="00B67BD7" w:rsidP="00B67BD7">
      <w:pPr>
        <w:pStyle w:val="Heading1"/>
        <w:jc w:val="center"/>
        <w:rPr>
          <w:rFonts w:ascii="Times New Roman" w:hAnsi="Times New Roman" w:cs="Times New Roman"/>
          <w:b/>
          <w:color w:val="auto"/>
          <w:sz w:val="24"/>
          <w:szCs w:val="24"/>
          <w:lang w:val="ro-MD" w:eastAsia="ru-RU"/>
        </w:rPr>
      </w:pPr>
      <w:bookmarkStart w:id="16" w:name="_Toc185943218"/>
      <w:r w:rsidRPr="00483DC7">
        <w:rPr>
          <w:rFonts w:ascii="Times New Roman" w:hAnsi="Times New Roman" w:cs="Times New Roman"/>
          <w:b/>
          <w:color w:val="auto"/>
          <w:sz w:val="24"/>
          <w:szCs w:val="24"/>
          <w:lang w:val="ro-MD" w:eastAsia="ru-RU"/>
        </w:rPr>
        <w:lastRenderedPageBreak/>
        <w:t>IV. CONSTATĂRI</w:t>
      </w:r>
      <w:bookmarkEnd w:id="16"/>
    </w:p>
    <w:bookmarkStart w:id="17" w:name="_Toc185943219"/>
    <w:p w14:paraId="556B043B" w14:textId="1A5216EA" w:rsidR="00B67BD7" w:rsidRPr="00483DC7" w:rsidRDefault="006312FE" w:rsidP="00B67BD7">
      <w:pPr>
        <w:pStyle w:val="Heading2"/>
        <w:jc w:val="both"/>
        <w:rPr>
          <w:rFonts w:ascii="Times New Roman" w:hAnsi="Times New Roman" w:cs="Times New Roman"/>
          <w:b/>
          <w:sz w:val="24"/>
          <w:szCs w:val="24"/>
          <w:lang w:val="ro-MD" w:eastAsia="ru-RU"/>
        </w:rPr>
      </w:pPr>
      <w:r w:rsidRPr="00483DC7">
        <w:rPr>
          <w:noProof/>
        </w:rPr>
        <mc:AlternateContent>
          <mc:Choice Requires="wps">
            <w:drawing>
              <wp:anchor distT="0" distB="0" distL="114300" distR="114300" simplePos="0" relativeHeight="251658240" behindDoc="0" locked="0" layoutInCell="1" allowOverlap="1" wp14:anchorId="449C100C" wp14:editId="322084BC">
                <wp:simplePos x="0" y="0"/>
                <wp:positionH relativeFrom="column">
                  <wp:posOffset>9525</wp:posOffset>
                </wp:positionH>
                <wp:positionV relativeFrom="paragraph">
                  <wp:posOffset>421005</wp:posOffset>
                </wp:positionV>
                <wp:extent cx="5920740" cy="845820"/>
                <wp:effectExtent l="0" t="0" r="22860" b="11430"/>
                <wp:wrapTopAndBottom/>
                <wp:docPr id="1" name="Text Box 1"/>
                <wp:cNvGraphicFramePr/>
                <a:graphic xmlns:a="http://schemas.openxmlformats.org/drawingml/2006/main">
                  <a:graphicData uri="http://schemas.microsoft.com/office/word/2010/wordprocessingShape">
                    <wps:wsp>
                      <wps:cNvSpPr txBox="1"/>
                      <wps:spPr>
                        <a:xfrm>
                          <a:off x="0" y="0"/>
                          <a:ext cx="5920740" cy="845820"/>
                        </a:xfrm>
                        <a:prstGeom prst="rect">
                          <a:avLst/>
                        </a:prstGeom>
                        <a:solidFill>
                          <a:schemeClr val="lt1"/>
                        </a:solidFill>
                        <a:ln w="6350">
                          <a:solidFill>
                            <a:prstClr val="black"/>
                          </a:solidFill>
                        </a:ln>
                      </wps:spPr>
                      <wps:txbx>
                        <w:txbxContent>
                          <w:p w14:paraId="140DCF8D" w14:textId="12F84447" w:rsidR="00CB1EF8" w:rsidRPr="006312FE" w:rsidRDefault="00CB1EF8" w:rsidP="00AC0011">
                            <w:pPr>
                              <w:ind w:right="-36"/>
                              <w:jc w:val="both"/>
                              <w:rPr>
                                <w:rFonts w:ascii="Times New Roman" w:hAnsi="Times New Roman" w:cs="Times New Roman"/>
                                <w:i/>
                                <w:sz w:val="24"/>
                                <w:szCs w:val="24"/>
                                <w:lang w:val="ro-RO"/>
                              </w:rPr>
                            </w:pPr>
                            <w:r w:rsidRPr="006312FE">
                              <w:rPr>
                                <w:rFonts w:ascii="Times New Roman" w:hAnsi="Times New Roman" w:cs="Times New Roman"/>
                                <w:i/>
                                <w:sz w:val="24"/>
                                <w:szCs w:val="24"/>
                                <w:lang w:val="ro-RO"/>
                              </w:rPr>
                              <w:t xml:space="preserve">Inconsecvențele prezente în cadrul de reglementare a activității UIPFAE, precum și </w:t>
                            </w:r>
                            <w:r>
                              <w:rPr>
                                <w:rFonts w:ascii="Times New Roman" w:hAnsi="Times New Roman" w:cs="Times New Roman"/>
                                <w:i/>
                                <w:sz w:val="24"/>
                                <w:szCs w:val="24"/>
                                <w:lang w:val="ro-RO"/>
                              </w:rPr>
                              <w:t>lipsa unei alinieri clare dintre obiectivele strategice naționale și cele enunțate în Acordurile de finanțare generează impedimente pentru părțile implicate în proces, în vederea asigurării unei gestionări performante a proiectelor de asistență externă.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100C" id="_x0000_t202" coordsize="21600,21600" o:spt="202" path="m,l,21600r21600,l21600,xe">
                <v:stroke joinstyle="miter"/>
                <v:path gradientshapeok="t" o:connecttype="rect"/>
              </v:shapetype>
              <v:shape id="Text Box 1" o:spid="_x0000_s1026" type="#_x0000_t202" style="position:absolute;left:0;text-align:left;margin-left:.75pt;margin-top:33.15pt;width:466.2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09SgIAAKEEAAAOAAAAZHJzL2Uyb0RvYy54bWysVE1vGjEQvVfqf7B8bxYoJASxRDQRVaUo&#10;iQRVzsbrhVW9Htc27NJf32ezkI/2VPXinS8/z7yZ2elNW2u2V85XZHLev+hxpoykojKbnH9fLT6N&#10;OfNBmEJoMirnB+X5zezjh2ljJ2pAW9KFcgwgxk8am/NtCHaSZV5uVS38BVll4CzJ1SJAdZuscKIB&#10;eq2zQa93mTXkCutIKu9hvTs6+Szhl6WS4bEsvQpM5xy5hXS6dK7jmc2mYrJxwm4r2aUh/iGLWlQG&#10;j56h7kQQbOeqP6DqSjryVIYLSXVGZVlJlWpANf3eu2qWW2FVqgXkeHumyf8/WPmwf3KsKtA7zoyo&#10;0aKVagP7Qi3rR3Ya6ycIWlqEhRbmGNnZPYyx6LZ0dfyiHAY/eD6cuY1gEsbR9aB3NYRLwjcejsaD&#10;RH72cts6H74qqlkUcu7Qu0Sp2N/7gBcRegqJj3nSVbGotE5KnBd1qx3bC3Rah5QjbryJ0oY1Ob/8&#10;POol4De+CH2+v9ZC/ohVvkWApg2MkZNj7VEK7brtCFlTcQBPjo5z5q1cVMC9Fz48CYfBQv1YlvCI&#10;o9SEZKiTONuS+/U3e4xHv+HlrMGg5tz/3AmnONPfDCbhuj+MtIakDEdX4JW51571a4/Z1bcEhtBt&#10;ZJfEGB/0SSwd1c/YqXl8FS5hJN7OeTiJt+G4PthJqebzFIRZtiLcm6WVETp2JPK5ap+Fs10/Aybh&#10;gU4jLSbv2nqMjTcNzXeByir1PBJ8ZLXjHXuQ2tLtbFy013qKevmzzH4DAAD//wMAUEsDBBQABgAI&#10;AAAAIQBGO5uc2wAAAAgBAAAPAAAAZHJzL2Rvd25yZXYueG1sTI/BTsMwEETvSPyDtUjcqFOiRnGI&#10;UwEqXDhREGc3du2o8Tqy3TT8PcsJjrMzmn3Tbhc/stnENASUsF4VwAz2QQ9oJXx+vNzVwFJWqNUY&#10;0Ej4Ngm23fVVqxodLvhu5n22jEowNUqCy3lqOE+9M16lVZgMkncM0atMMlquo7pQuR/5fVFU3KsB&#10;6YNTk3l2pj/tz17C7skK29cqul2th2Fevo5v9lXK25vl8QFYNkv+C8MvPqFDR0yHcEad2Eh6Q0EJ&#10;VVUCI1uUpQB2oLsQG+Bdy/8P6H4AAAD//wMAUEsBAi0AFAAGAAgAAAAhALaDOJL+AAAA4QEAABMA&#10;AAAAAAAAAAAAAAAAAAAAAFtDb250ZW50X1R5cGVzXS54bWxQSwECLQAUAAYACAAAACEAOP0h/9YA&#10;AACUAQAACwAAAAAAAAAAAAAAAAAvAQAAX3JlbHMvLnJlbHNQSwECLQAUAAYACAAAACEAIzfNPUoC&#10;AAChBAAADgAAAAAAAAAAAAAAAAAuAgAAZHJzL2Uyb0RvYy54bWxQSwECLQAUAAYACAAAACEARjub&#10;nNsAAAAIAQAADwAAAAAAAAAAAAAAAACkBAAAZHJzL2Rvd25yZXYueG1sUEsFBgAAAAAEAAQA8wAA&#10;AKwFAAAAAA==&#10;" fillcolor="white [3201]" strokeweight=".5pt">
                <v:textbox>
                  <w:txbxContent>
                    <w:p w14:paraId="140DCF8D" w14:textId="12F84447" w:rsidR="00CB1EF8" w:rsidRPr="006312FE" w:rsidRDefault="00CB1EF8" w:rsidP="00AC0011">
                      <w:pPr>
                        <w:ind w:right="-36"/>
                        <w:jc w:val="both"/>
                        <w:rPr>
                          <w:rFonts w:ascii="Times New Roman" w:hAnsi="Times New Roman" w:cs="Times New Roman"/>
                          <w:i/>
                          <w:sz w:val="24"/>
                          <w:szCs w:val="24"/>
                          <w:lang w:val="ro-RO"/>
                        </w:rPr>
                      </w:pPr>
                      <w:r w:rsidRPr="006312FE">
                        <w:rPr>
                          <w:rFonts w:ascii="Times New Roman" w:hAnsi="Times New Roman" w:cs="Times New Roman"/>
                          <w:i/>
                          <w:sz w:val="24"/>
                          <w:szCs w:val="24"/>
                          <w:lang w:val="ro-RO"/>
                        </w:rPr>
                        <w:t xml:space="preserve">Inconsecvențele prezente în cadrul de reglementare a activității UIPFAE, precum și </w:t>
                      </w:r>
                      <w:r>
                        <w:rPr>
                          <w:rFonts w:ascii="Times New Roman" w:hAnsi="Times New Roman" w:cs="Times New Roman"/>
                          <w:i/>
                          <w:sz w:val="24"/>
                          <w:szCs w:val="24"/>
                          <w:lang w:val="ro-RO"/>
                        </w:rPr>
                        <w:t>lipsa unei alinieri clare dintre obiectivele strategice naționale și cele enunțate în Acordurile de finanțare generează impedimente pentru părțile implicate în proces, în vederea asigurării unei gestionări performante a proiectelor de asistență externă.</w:t>
                      </w:r>
                    </w:p>
                  </w:txbxContent>
                </v:textbox>
                <w10:wrap type="topAndBottom"/>
              </v:shape>
            </w:pict>
          </mc:Fallback>
        </mc:AlternateContent>
      </w:r>
      <w:r w:rsidR="00B67BD7" w:rsidRPr="00483DC7">
        <w:rPr>
          <w:rFonts w:ascii="Times New Roman" w:hAnsi="Times New Roman" w:cs="Times New Roman"/>
          <w:b/>
          <w:color w:val="auto"/>
          <w:sz w:val="24"/>
          <w:szCs w:val="24"/>
          <w:lang w:val="ro-MD" w:eastAsia="ru-RU"/>
        </w:rPr>
        <w:t>4.1. Documentele de politici (strategiile și politicile publice naționale)</w:t>
      </w:r>
      <w:r w:rsidR="00393710">
        <w:rPr>
          <w:rFonts w:ascii="Times New Roman" w:hAnsi="Times New Roman" w:cs="Times New Roman"/>
          <w:b/>
          <w:color w:val="auto"/>
          <w:sz w:val="24"/>
          <w:szCs w:val="24"/>
          <w:lang w:val="ro-MD" w:eastAsia="ru-RU"/>
        </w:rPr>
        <w:t>,</w:t>
      </w:r>
      <w:r w:rsidR="00B67BD7" w:rsidRPr="00483DC7">
        <w:rPr>
          <w:rFonts w:ascii="Times New Roman" w:hAnsi="Times New Roman" w:cs="Times New Roman"/>
          <w:b/>
          <w:color w:val="auto"/>
          <w:sz w:val="24"/>
          <w:szCs w:val="24"/>
          <w:lang w:val="ro-MD" w:eastAsia="ru-RU"/>
        </w:rPr>
        <w:t xml:space="preserve"> precum și cadrul de reglementare conțin obiective clar delimitate pentru fi</w:t>
      </w:r>
      <w:r w:rsidR="00393710">
        <w:rPr>
          <w:rFonts w:ascii="Times New Roman" w:hAnsi="Times New Roman" w:cs="Times New Roman"/>
          <w:b/>
          <w:color w:val="auto"/>
          <w:sz w:val="24"/>
          <w:szCs w:val="24"/>
          <w:lang w:val="ro-MD" w:eastAsia="ru-RU"/>
        </w:rPr>
        <w:t>ecare parte implicată în proces</w:t>
      </w:r>
      <w:r w:rsidR="00B67BD7" w:rsidRPr="00483DC7">
        <w:rPr>
          <w:rFonts w:ascii="Times New Roman" w:hAnsi="Times New Roman" w:cs="Times New Roman"/>
          <w:b/>
          <w:color w:val="auto"/>
          <w:sz w:val="24"/>
          <w:szCs w:val="24"/>
          <w:lang w:val="ro-MD" w:eastAsia="ru-RU"/>
        </w:rPr>
        <w:t>?</w:t>
      </w:r>
      <w:bookmarkEnd w:id="17"/>
    </w:p>
    <w:p w14:paraId="058E1FE2" w14:textId="68492611" w:rsidR="00B67BD7" w:rsidRPr="00483DC7" w:rsidRDefault="006312FE" w:rsidP="008453C7">
      <w:pPr>
        <w:spacing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eastAsia="ru-RU"/>
        </w:rPr>
        <w:t xml:space="preserve">4.1.1. </w:t>
      </w:r>
      <w:r w:rsidR="00797D0E" w:rsidRPr="00483DC7">
        <w:rPr>
          <w:rFonts w:ascii="Times New Roman" w:hAnsi="Times New Roman" w:cs="Times New Roman"/>
          <w:b/>
          <w:sz w:val="24"/>
          <w:szCs w:val="24"/>
          <w:lang w:val="ro-MD"/>
        </w:rPr>
        <w:t>Mandatul atribuit UIPFAE</w:t>
      </w:r>
      <w:r w:rsidR="005E3827" w:rsidRPr="00483DC7">
        <w:rPr>
          <w:rFonts w:ascii="Times New Roman" w:hAnsi="Times New Roman" w:cs="Times New Roman"/>
          <w:b/>
          <w:sz w:val="24"/>
          <w:szCs w:val="24"/>
          <w:lang w:val="ro-MD"/>
        </w:rPr>
        <w:t xml:space="preserve"> este suficient și adecvat pentru realizarea scopului și misiunii stabilit</w:t>
      </w:r>
      <w:r w:rsidR="00275B34">
        <w:rPr>
          <w:rFonts w:ascii="Times New Roman" w:hAnsi="Times New Roman" w:cs="Times New Roman"/>
          <w:b/>
          <w:sz w:val="24"/>
          <w:szCs w:val="24"/>
          <w:lang w:val="ro-MD"/>
        </w:rPr>
        <w:t>e</w:t>
      </w:r>
      <w:r w:rsidR="005E3827" w:rsidRPr="00483DC7">
        <w:rPr>
          <w:rFonts w:ascii="Times New Roman" w:hAnsi="Times New Roman" w:cs="Times New Roman"/>
          <w:b/>
          <w:sz w:val="24"/>
          <w:szCs w:val="24"/>
          <w:lang w:val="ro-MD"/>
        </w:rPr>
        <w:t xml:space="preserve"> la crearea acestora?</w:t>
      </w:r>
    </w:p>
    <w:p w14:paraId="3869C96A" w14:textId="24108C44" w:rsidR="008F4A39" w:rsidRPr="00483DC7" w:rsidRDefault="005E3827" w:rsidP="00980FBE">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Noțiunea de „mandat” al unei instituții publice se referă la rolul instituției în cadrul sistemului administrativ și juridic, reprezentând ansamblul de responsabilități, atribuții și împuterniciri legale pe care instituția respectivă le are în relația cu cetățenii, </w:t>
      </w:r>
      <w:r w:rsidR="00734C3A">
        <w:rPr>
          <w:rFonts w:ascii="Times New Roman" w:hAnsi="Times New Roman" w:cs="Times New Roman"/>
          <w:sz w:val="24"/>
          <w:szCs w:val="24"/>
          <w:lang w:val="ro-MD"/>
        </w:rPr>
        <w:t xml:space="preserve">cu </w:t>
      </w:r>
      <w:r w:rsidRPr="00483DC7">
        <w:rPr>
          <w:rFonts w:ascii="Times New Roman" w:hAnsi="Times New Roman" w:cs="Times New Roman"/>
          <w:sz w:val="24"/>
          <w:szCs w:val="24"/>
          <w:lang w:val="ro-MD"/>
        </w:rPr>
        <w:t>alte instituții publice și organizații private</w:t>
      </w:r>
      <w:r w:rsidR="00797D0E" w:rsidRPr="00483DC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Scopul mandatului constă în asigurarea unei structuri organizatorice clare a instituției publice și în facilitarea unei guvernanțe eficiente și responsabile a acesteia.</w:t>
      </w:r>
    </w:p>
    <w:p w14:paraId="4D60B6B5" w14:textId="1E5BEAE0" w:rsidR="005E3827" w:rsidRPr="00483DC7" w:rsidRDefault="005E3827" w:rsidP="005E3827">
      <w:pPr>
        <w:spacing w:after="0" w:line="276" w:lineRule="auto"/>
        <w:ind w:firstLine="709"/>
        <w:jc w:val="both"/>
        <w:rPr>
          <w:rFonts w:ascii="Times New Roman" w:hAnsi="Times New Roman" w:cs="Times New Roman"/>
          <w:i/>
          <w:sz w:val="24"/>
          <w:szCs w:val="24"/>
          <w:lang w:val="ro-MD"/>
        </w:rPr>
      </w:pPr>
      <w:r w:rsidRPr="00483DC7">
        <w:rPr>
          <w:rFonts w:ascii="Times New Roman" w:hAnsi="Times New Roman" w:cs="Times New Roman"/>
          <w:i/>
          <w:sz w:val="24"/>
          <w:szCs w:val="24"/>
          <w:lang w:val="ro-MD"/>
        </w:rPr>
        <w:t xml:space="preserve">Analizând mandatul atribuit UIPFAE, auditul a stabilit că actele normative care reglementează procesul de organizare și funcționare a UIPFAE </w:t>
      </w:r>
      <w:r w:rsidR="00734C3A">
        <w:rPr>
          <w:rFonts w:ascii="Times New Roman" w:hAnsi="Times New Roman" w:cs="Times New Roman"/>
          <w:i/>
          <w:sz w:val="24"/>
          <w:szCs w:val="24"/>
          <w:lang w:val="ro-MD"/>
        </w:rPr>
        <w:t>re</w:t>
      </w:r>
      <w:r w:rsidRPr="00483DC7">
        <w:rPr>
          <w:rFonts w:ascii="Times New Roman" w:hAnsi="Times New Roman" w:cs="Times New Roman"/>
          <w:i/>
          <w:sz w:val="24"/>
          <w:szCs w:val="24"/>
          <w:lang w:val="ro-MD"/>
        </w:rPr>
        <w:t>prezintă o structură fragmentată și, în anumite aspecte, contradictorie. Auditul atestă inconsecvențe în regulile privind înființarea și funcționarea UIPFAE, exprimate prin utilizarea unei terminologii neuniforme la stabilirea formei organizatorico-juridice a UIPFAE, precum și prezența unor criterii neclare cu privire la monitorizare</w:t>
      </w:r>
      <w:r w:rsidR="00734C3A">
        <w:rPr>
          <w:rFonts w:ascii="Times New Roman" w:hAnsi="Times New Roman" w:cs="Times New Roman"/>
          <w:i/>
          <w:sz w:val="24"/>
          <w:szCs w:val="24"/>
          <w:lang w:val="ro-MD"/>
        </w:rPr>
        <w:t>a și evaluare</w:t>
      </w:r>
      <w:r w:rsidRPr="00483DC7">
        <w:rPr>
          <w:rFonts w:ascii="Times New Roman" w:hAnsi="Times New Roman" w:cs="Times New Roman"/>
          <w:i/>
          <w:sz w:val="24"/>
          <w:szCs w:val="24"/>
          <w:lang w:val="ro-MD"/>
        </w:rPr>
        <w:t>a performanței UIPFAE.</w:t>
      </w:r>
    </w:p>
    <w:p w14:paraId="124E175F" w14:textId="433730C9" w:rsidR="005E3827" w:rsidRPr="00483DC7" w:rsidRDefault="00980FBE" w:rsidP="0067746C">
      <w:pPr>
        <w:spacing w:after="0"/>
        <w:ind w:firstLine="709"/>
        <w:jc w:val="both"/>
        <w:rPr>
          <w:rFonts w:ascii="Times New Roman" w:hAnsi="Times New Roman" w:cs="Times New Roman"/>
          <w:i/>
          <w:sz w:val="24"/>
          <w:szCs w:val="24"/>
          <w:lang w:val="ro-MD"/>
        </w:rPr>
      </w:pPr>
      <w:r w:rsidRPr="00483DC7">
        <w:rPr>
          <w:rFonts w:ascii="Times New Roman" w:hAnsi="Times New Roman" w:cs="Times New Roman"/>
          <w:i/>
          <w:sz w:val="24"/>
          <w:szCs w:val="24"/>
          <w:lang w:val="ro-MD"/>
        </w:rPr>
        <w:t xml:space="preserve">Deficiențele constatate </w:t>
      </w:r>
      <w:r w:rsidR="005B1CB7" w:rsidRPr="00483DC7">
        <w:rPr>
          <w:rFonts w:ascii="Times New Roman" w:hAnsi="Times New Roman" w:cs="Times New Roman"/>
          <w:i/>
          <w:sz w:val="24"/>
          <w:szCs w:val="24"/>
          <w:lang w:val="ro-MD"/>
        </w:rPr>
        <w:t>determină interpretarea eronată de către UIPFAE a sarcinilor, atribuțiilor și responsabilităților în procesul de gestionare a asistenței externe</w:t>
      </w:r>
      <w:r w:rsidR="0067746C" w:rsidRPr="00483DC7">
        <w:rPr>
          <w:rFonts w:ascii="Times New Roman" w:hAnsi="Times New Roman" w:cs="Times New Roman"/>
          <w:i/>
          <w:sz w:val="24"/>
          <w:szCs w:val="24"/>
          <w:lang w:val="ro-MD"/>
        </w:rPr>
        <w:t>. Lipsa unei viziuni clare la nivel managerial cauzează dificultăți în monitorizarea și evaluarea corectă a activității unităților</w:t>
      </w:r>
      <w:r w:rsidR="00734C3A">
        <w:rPr>
          <w:rFonts w:ascii="Times New Roman" w:hAnsi="Times New Roman" w:cs="Times New Roman"/>
          <w:i/>
          <w:sz w:val="24"/>
          <w:szCs w:val="24"/>
          <w:lang w:val="ro-MD"/>
        </w:rPr>
        <w:t xml:space="preserve"> respective</w:t>
      </w:r>
      <w:r w:rsidR="005E3827" w:rsidRPr="00483DC7">
        <w:rPr>
          <w:rFonts w:ascii="Times New Roman" w:hAnsi="Times New Roman" w:cs="Times New Roman"/>
          <w:i/>
          <w:sz w:val="24"/>
          <w:szCs w:val="24"/>
          <w:lang w:val="ro-MD"/>
        </w:rPr>
        <w:t xml:space="preserve">. </w:t>
      </w:r>
      <w:r w:rsidR="005E3827" w:rsidRPr="00483DC7">
        <w:rPr>
          <w:rFonts w:ascii="Times New Roman" w:hAnsi="Times New Roman" w:cs="Times New Roman"/>
          <w:sz w:val="24"/>
          <w:szCs w:val="24"/>
          <w:lang w:val="ro-MD"/>
        </w:rPr>
        <w:t>În acest context auditul exemplifică următoarele</w:t>
      </w:r>
      <w:r w:rsidR="00734C3A">
        <w:rPr>
          <w:rFonts w:ascii="Times New Roman" w:hAnsi="Times New Roman" w:cs="Times New Roman"/>
          <w:sz w:val="24"/>
          <w:szCs w:val="24"/>
          <w:lang w:val="ro-MD"/>
        </w:rPr>
        <w:t>.</w:t>
      </w:r>
    </w:p>
    <w:p w14:paraId="58E35447" w14:textId="77777777" w:rsidR="00980FBE" w:rsidRPr="00483DC7" w:rsidRDefault="005E3827" w:rsidP="00980FBE">
      <w:pPr>
        <w:spacing w:before="240"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4.1.1.1. Neuniformizarea cadrului de reglementare a regimului juridic aplicabil activității operaționale și raportării financiare a UIPFAE, generează ambiguități și interpretări eronate cu privire la forma organizatorico-juridică a instituțiilor publice cu sarcini similare.</w:t>
      </w:r>
    </w:p>
    <w:p w14:paraId="24250D8C" w14:textId="457832DB" w:rsidR="00980FBE" w:rsidRPr="00483DC7" w:rsidRDefault="005E3827" w:rsidP="00980FBE">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Potrivit pct.3 din Regulamentul privind recreditarea de stat</w:t>
      </w:r>
      <w:r w:rsidRPr="00483DC7">
        <w:rPr>
          <w:rStyle w:val="FootnoteReference"/>
          <w:rFonts w:ascii="Times New Roman" w:hAnsi="Times New Roman" w:cs="Times New Roman"/>
          <w:sz w:val="24"/>
          <w:szCs w:val="24"/>
          <w:lang w:val="ro-MD"/>
        </w:rPr>
        <w:footnoteReference w:id="13"/>
      </w:r>
      <w:r w:rsidRPr="00483DC7">
        <w:rPr>
          <w:rFonts w:ascii="Times New Roman" w:hAnsi="Times New Roman" w:cs="Times New Roman"/>
          <w:sz w:val="24"/>
          <w:szCs w:val="24"/>
          <w:lang w:val="ro-MD"/>
        </w:rPr>
        <w:t>, în scopul implementării și monitorizării eficiente a proiectelor și a programelor de dezvoltare finanțate din surse externe, Guvernul creează</w:t>
      </w:r>
      <w:r w:rsidR="00370A16">
        <w:rPr>
          <w:rFonts w:ascii="Times New Roman" w:hAnsi="Times New Roman" w:cs="Times New Roman"/>
          <w:sz w:val="24"/>
          <w:szCs w:val="24"/>
          <w:lang w:val="ro-MD"/>
        </w:rPr>
        <w:t>, în funcție de necesitate,</w:t>
      </w:r>
      <w:r w:rsidRPr="00483DC7">
        <w:rPr>
          <w:rFonts w:ascii="Times New Roman" w:hAnsi="Times New Roman" w:cs="Times New Roman"/>
          <w:sz w:val="24"/>
          <w:szCs w:val="24"/>
          <w:lang w:val="ro-MD"/>
        </w:rPr>
        <w:t xml:space="preserve"> unități speciale de implementare a proiectelor, ale căror sarcini și atribuții sunt stabilite în regulamente</w:t>
      </w:r>
      <w:r w:rsidR="00275B34">
        <w:rPr>
          <w:rFonts w:ascii="Times New Roman" w:hAnsi="Times New Roman" w:cs="Times New Roman"/>
          <w:sz w:val="24"/>
          <w:szCs w:val="24"/>
          <w:lang w:val="ro-MD"/>
        </w:rPr>
        <w:t>le</w:t>
      </w:r>
      <w:r w:rsidRPr="00483DC7">
        <w:rPr>
          <w:rFonts w:ascii="Times New Roman" w:hAnsi="Times New Roman" w:cs="Times New Roman"/>
          <w:sz w:val="24"/>
          <w:szCs w:val="24"/>
          <w:lang w:val="ro-MD"/>
        </w:rPr>
        <w:t xml:space="preserve"> apr</w:t>
      </w:r>
      <w:r w:rsidR="00980FBE" w:rsidRPr="00483DC7">
        <w:rPr>
          <w:rFonts w:ascii="Times New Roman" w:hAnsi="Times New Roman" w:cs="Times New Roman"/>
          <w:sz w:val="24"/>
          <w:szCs w:val="24"/>
          <w:lang w:val="ro-MD"/>
        </w:rPr>
        <w:t xml:space="preserve">obate prin hotărâre de Guvern. </w:t>
      </w:r>
    </w:p>
    <w:p w14:paraId="3C8580F6" w14:textId="7AE15CF1" w:rsidR="00AF1B58" w:rsidRPr="00483DC7" w:rsidRDefault="005E3827" w:rsidP="00F35DD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perioada 1999-2022, Guvernul a creat (inclusiv prin reorganizare) mai multe UIPFAE cu statut de instituții publice subordonate organelor centrale de specialitate ale statului, in</w:t>
      </w:r>
      <w:r w:rsidR="00D219D0" w:rsidRPr="00483DC7">
        <w:rPr>
          <w:rFonts w:ascii="Times New Roman" w:hAnsi="Times New Roman" w:cs="Times New Roman"/>
          <w:sz w:val="24"/>
          <w:szCs w:val="24"/>
          <w:lang w:val="ro-MD"/>
        </w:rPr>
        <w:t xml:space="preserve">clusiv cele 12 UIPFAE </w:t>
      </w:r>
      <w:r w:rsidR="0079268D" w:rsidRPr="00483DC7">
        <w:rPr>
          <w:rFonts w:ascii="Times New Roman" w:hAnsi="Times New Roman" w:cs="Times New Roman"/>
          <w:sz w:val="24"/>
          <w:szCs w:val="24"/>
          <w:lang w:val="ro-MD"/>
        </w:rPr>
        <w:t xml:space="preserve">acoperite cu proceduri de audit în cadrul misiunii curente. </w:t>
      </w:r>
    </w:p>
    <w:p w14:paraId="68B133AF" w14:textId="77777777" w:rsidR="00F26B00" w:rsidRPr="00483DC7" w:rsidRDefault="00D219D0" w:rsidP="00F35DD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Potrivit art.307 alin.(1) din Codul civil al Republicii Moldova nr.1107 din 06.06.2002, instituția publică este persoană juridică de drept public care se constituie în baza unui act emis de autoritatea publică și care este finanțată, integral sau parțial, de la bugetul acesteia din urmă. </w:t>
      </w:r>
    </w:p>
    <w:p w14:paraId="7118A400" w14:textId="312A205F" w:rsidR="005E3827" w:rsidRPr="00483DC7" w:rsidRDefault="00F26B00" w:rsidP="00F35DD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cadrul</w:t>
      </w:r>
      <w:r w:rsidR="00F35DD2" w:rsidRPr="00483DC7">
        <w:rPr>
          <w:rFonts w:ascii="Times New Roman" w:hAnsi="Times New Roman" w:cs="Times New Roman"/>
          <w:sz w:val="24"/>
          <w:szCs w:val="24"/>
          <w:lang w:val="ro-MD"/>
        </w:rPr>
        <w:t xml:space="preserve"> normativ în vigoare</w:t>
      </w:r>
      <w:r w:rsidR="00F35DD2" w:rsidRPr="00483DC7">
        <w:rPr>
          <w:rStyle w:val="FootnoteReference"/>
          <w:rFonts w:ascii="Times New Roman" w:hAnsi="Times New Roman" w:cs="Times New Roman"/>
          <w:sz w:val="24"/>
          <w:szCs w:val="24"/>
          <w:lang w:val="ro-MD"/>
        </w:rPr>
        <w:footnoteReference w:id="14"/>
      </w:r>
      <w:r w:rsidR="00F35DD2" w:rsidRPr="00483DC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 xml:space="preserve">stipulează că </w:t>
      </w:r>
      <w:r w:rsidR="00F35DD2" w:rsidRPr="00483DC7">
        <w:rPr>
          <w:rFonts w:ascii="Times New Roman" w:hAnsi="Times New Roman" w:cs="Times New Roman"/>
          <w:sz w:val="24"/>
          <w:szCs w:val="24"/>
          <w:lang w:val="ro-MD"/>
        </w:rPr>
        <w:t xml:space="preserve">instituția publică </w:t>
      </w:r>
      <w:r w:rsidR="005E3827" w:rsidRPr="00483DC7">
        <w:rPr>
          <w:rFonts w:ascii="Times New Roman" w:hAnsi="Times New Roman" w:cs="Times New Roman"/>
          <w:sz w:val="24"/>
          <w:szCs w:val="24"/>
          <w:lang w:val="ro-MD"/>
        </w:rPr>
        <w:t xml:space="preserve">este persoană juridică de drept public care se constituie pentru realizarea unor funcții de administrare, sociale, culturale, de învățământ și a altor funcții de interes public de care este responsabil </w:t>
      </w:r>
      <w:r w:rsidR="0055630B">
        <w:rPr>
          <w:rFonts w:ascii="Times New Roman" w:hAnsi="Times New Roman" w:cs="Times New Roman"/>
          <w:sz w:val="24"/>
          <w:szCs w:val="24"/>
          <w:lang w:val="ro-MD"/>
        </w:rPr>
        <w:t>m</w:t>
      </w:r>
      <w:r w:rsidR="005E3827" w:rsidRPr="00483DC7">
        <w:rPr>
          <w:rFonts w:ascii="Times New Roman" w:hAnsi="Times New Roman" w:cs="Times New Roman"/>
          <w:sz w:val="24"/>
          <w:szCs w:val="24"/>
          <w:lang w:val="ro-MD"/>
        </w:rPr>
        <w:t>inisterul sau altă autori</w:t>
      </w:r>
      <w:r w:rsidR="00F35DD2" w:rsidRPr="00483DC7">
        <w:rPr>
          <w:rFonts w:ascii="Times New Roman" w:hAnsi="Times New Roman" w:cs="Times New Roman"/>
          <w:sz w:val="24"/>
          <w:szCs w:val="24"/>
          <w:lang w:val="ro-MD"/>
        </w:rPr>
        <w:t>tate administrativă centrală și</w:t>
      </w:r>
      <w:r w:rsidR="005E3827" w:rsidRPr="00483DC7">
        <w:rPr>
          <w:rFonts w:ascii="Times New Roman" w:hAnsi="Times New Roman" w:cs="Times New Roman"/>
          <w:sz w:val="24"/>
          <w:szCs w:val="24"/>
          <w:lang w:val="ro-MD"/>
        </w:rPr>
        <w:t xml:space="preserve"> care, în funcție de modul cum este finanțată, poate fi: </w:t>
      </w:r>
      <w:r w:rsidR="005E3827" w:rsidRPr="00483DC7">
        <w:rPr>
          <w:rFonts w:ascii="Times New Roman" w:hAnsi="Times New Roman" w:cs="Times New Roman"/>
          <w:i/>
          <w:sz w:val="24"/>
          <w:szCs w:val="24"/>
          <w:lang w:val="ro-MD"/>
        </w:rPr>
        <w:t>instituție publică bugetară</w:t>
      </w:r>
      <w:r w:rsidR="005E3827" w:rsidRPr="00483DC7">
        <w:rPr>
          <w:rFonts w:ascii="Times New Roman" w:hAnsi="Times New Roman" w:cs="Times New Roman"/>
          <w:sz w:val="24"/>
          <w:szCs w:val="24"/>
          <w:lang w:val="ro-MD"/>
        </w:rPr>
        <w:t xml:space="preserve"> </w:t>
      </w:r>
      <w:r w:rsidR="005E3827" w:rsidRPr="00483DC7">
        <w:rPr>
          <w:rFonts w:ascii="Times New Roman" w:hAnsi="Times New Roman" w:cs="Times New Roman"/>
          <w:i/>
          <w:sz w:val="24"/>
          <w:szCs w:val="24"/>
          <w:lang w:val="ro-MD"/>
        </w:rPr>
        <w:t>–</w:t>
      </w:r>
      <w:r w:rsidR="005E3827" w:rsidRPr="00483DC7">
        <w:rPr>
          <w:rFonts w:ascii="Times New Roman" w:hAnsi="Times New Roman" w:cs="Times New Roman"/>
          <w:sz w:val="24"/>
          <w:szCs w:val="24"/>
          <w:lang w:val="ro-MD"/>
        </w:rPr>
        <w:t xml:space="preserve"> entitate de drept public care, conform actelor de constituire, este finanțată de la bugetele componente ale bugetului public național, sau </w:t>
      </w:r>
      <w:r w:rsidR="005E3827" w:rsidRPr="00483DC7">
        <w:rPr>
          <w:rFonts w:ascii="Times New Roman" w:hAnsi="Times New Roman" w:cs="Times New Roman"/>
          <w:i/>
          <w:sz w:val="24"/>
          <w:szCs w:val="24"/>
          <w:lang w:val="ro-MD"/>
        </w:rPr>
        <w:t xml:space="preserve">instituție publică la autogestiune – </w:t>
      </w:r>
      <w:r w:rsidR="005E3827" w:rsidRPr="00483DC7">
        <w:rPr>
          <w:rFonts w:ascii="Times New Roman" w:hAnsi="Times New Roman" w:cs="Times New Roman"/>
          <w:sz w:val="24"/>
          <w:szCs w:val="24"/>
          <w:lang w:val="ro-MD"/>
        </w:rPr>
        <w:t xml:space="preserve">entitate de drept public care, potrivit actului normativ prin care a fost fondată, desfășoară activitate </w:t>
      </w:r>
      <w:r w:rsidR="005E3827" w:rsidRPr="00483DC7">
        <w:rPr>
          <w:rFonts w:ascii="Times New Roman" w:hAnsi="Times New Roman" w:cs="Times New Roman"/>
          <w:sz w:val="24"/>
          <w:szCs w:val="24"/>
          <w:lang w:val="ro-MD"/>
        </w:rPr>
        <w:lastRenderedPageBreak/>
        <w:t>necomercială (nonprofit) și activează în baza principiilor de autogestiune, precum și care po</w:t>
      </w:r>
      <w:r w:rsidR="00F35DD2" w:rsidRPr="00483DC7">
        <w:rPr>
          <w:rFonts w:ascii="Times New Roman" w:hAnsi="Times New Roman" w:cs="Times New Roman"/>
          <w:sz w:val="24"/>
          <w:szCs w:val="24"/>
          <w:lang w:val="ro-MD"/>
        </w:rPr>
        <w:t>a</w:t>
      </w:r>
      <w:r w:rsidR="005E3827" w:rsidRPr="00483DC7">
        <w:rPr>
          <w:rFonts w:ascii="Times New Roman" w:hAnsi="Times New Roman" w:cs="Times New Roman"/>
          <w:sz w:val="24"/>
          <w:szCs w:val="24"/>
          <w:lang w:val="ro-MD"/>
        </w:rPr>
        <w:t>t</w:t>
      </w:r>
      <w:r w:rsidR="00F35DD2" w:rsidRPr="00483DC7">
        <w:rPr>
          <w:rFonts w:ascii="Times New Roman" w:hAnsi="Times New Roman" w:cs="Times New Roman"/>
          <w:sz w:val="24"/>
          <w:szCs w:val="24"/>
          <w:lang w:val="ro-MD"/>
        </w:rPr>
        <w:t>e</w:t>
      </w:r>
      <w:r w:rsidR="005E3827" w:rsidRPr="00483DC7">
        <w:rPr>
          <w:rFonts w:ascii="Times New Roman" w:hAnsi="Times New Roman" w:cs="Times New Roman"/>
          <w:sz w:val="24"/>
          <w:szCs w:val="24"/>
          <w:lang w:val="ro-MD"/>
        </w:rPr>
        <w:t xml:space="preserve"> beneficia de mijloace financiare de la bugetele componente ale bugetului public național, în baza listei aprobate în legea bugetară anuală</w:t>
      </w:r>
      <w:r w:rsidR="005E3827" w:rsidRPr="00483DC7">
        <w:rPr>
          <w:rStyle w:val="FootnoteReference"/>
          <w:rFonts w:ascii="Times New Roman" w:hAnsi="Times New Roman" w:cs="Times New Roman"/>
          <w:sz w:val="24"/>
          <w:szCs w:val="24"/>
          <w:lang w:val="ro-MD"/>
        </w:rPr>
        <w:footnoteReference w:id="15"/>
      </w:r>
      <w:r w:rsidR="005E3827" w:rsidRPr="00483DC7">
        <w:rPr>
          <w:rFonts w:ascii="Times New Roman" w:hAnsi="Times New Roman" w:cs="Times New Roman"/>
          <w:sz w:val="24"/>
          <w:szCs w:val="24"/>
          <w:lang w:val="ro-MD"/>
        </w:rPr>
        <w:t xml:space="preserve">. </w:t>
      </w:r>
    </w:p>
    <w:p w14:paraId="595895A0" w14:textId="50513A5E" w:rsidR="00AF1B58" w:rsidRPr="00483DC7" w:rsidRDefault="00F35DD2" w:rsidP="00AF1B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Este de remarcat faptul că, </w:t>
      </w:r>
      <w:r w:rsidR="00AF1B58" w:rsidRPr="00483DC7">
        <w:rPr>
          <w:rFonts w:ascii="Times New Roman" w:hAnsi="Times New Roman" w:cs="Times New Roman"/>
          <w:sz w:val="24"/>
          <w:szCs w:val="24"/>
          <w:lang w:val="ro-MD"/>
        </w:rPr>
        <w:t xml:space="preserve">potrivit prevederilor Regulamentelor de creare, organizare și funcționare ale </w:t>
      </w:r>
      <w:r w:rsidR="00AF1B58" w:rsidRPr="00483DC7">
        <w:rPr>
          <w:rFonts w:ascii="Times New Roman" w:eastAsia="Times New Roman" w:hAnsi="Times New Roman" w:cs="Times New Roman"/>
          <w:color w:val="000000" w:themeColor="text1"/>
          <w:sz w:val="24"/>
          <w:szCs w:val="24"/>
          <w:shd w:val="clear" w:color="auto" w:fill="FFFFFF"/>
          <w:lang w:val="ro-MD"/>
        </w:rPr>
        <w:t>celor 12 UIPFAE auditate, 9</w:t>
      </w:r>
      <w:r w:rsidR="00AF1B58" w:rsidRPr="00483DC7">
        <w:rPr>
          <w:rFonts w:ascii="Times New Roman" w:hAnsi="Times New Roman" w:cs="Times New Roman"/>
          <w:sz w:val="24"/>
          <w:szCs w:val="24"/>
          <w:lang w:val="ro-MD"/>
        </w:rPr>
        <w:t xml:space="preserve"> unități activează pe baza principiilor de autonomie financiară și administrativă, specifice instituțiilor publice la autogestiune, iar în cazul celorlalte 3 instituții publice (ONIPM, ONDRL</w:t>
      </w:r>
      <w:r w:rsidR="00370A16">
        <w:rPr>
          <w:rFonts w:ascii="Times New Roman" w:hAnsi="Times New Roman" w:cs="Times New Roman"/>
          <w:sz w:val="24"/>
          <w:szCs w:val="24"/>
          <w:lang w:val="ro-MD"/>
        </w:rPr>
        <w:t xml:space="preserve"> și</w:t>
      </w:r>
      <w:r w:rsidR="00AF1B58" w:rsidRPr="00483DC7">
        <w:rPr>
          <w:rFonts w:ascii="Times New Roman" w:hAnsi="Times New Roman" w:cs="Times New Roman"/>
          <w:sz w:val="24"/>
          <w:szCs w:val="24"/>
          <w:lang w:val="ro-MD"/>
        </w:rPr>
        <w:t xml:space="preserve"> UCIMPRSVV), în actul normativ nu este indicat expres principiile de gestionare a acestora.</w:t>
      </w:r>
    </w:p>
    <w:p w14:paraId="3670FE42" w14:textId="798BEC31" w:rsidR="005E3827" w:rsidRPr="00483DC7" w:rsidRDefault="00A74F60" w:rsidP="008453C7">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w:t>
      </w:r>
      <w:r w:rsidR="00AF1B58" w:rsidRPr="00483DC7">
        <w:rPr>
          <w:rFonts w:ascii="Times New Roman" w:hAnsi="Times New Roman" w:cs="Times New Roman"/>
          <w:sz w:val="24"/>
          <w:szCs w:val="24"/>
          <w:lang w:val="ro-MD"/>
        </w:rPr>
        <w:t xml:space="preserve">, </w:t>
      </w:r>
      <w:r w:rsidR="00370A16">
        <w:rPr>
          <w:rFonts w:ascii="Times New Roman" w:hAnsi="Times New Roman" w:cs="Times New Roman"/>
          <w:sz w:val="24"/>
          <w:szCs w:val="24"/>
          <w:lang w:val="ro-MD"/>
        </w:rPr>
        <w:t xml:space="preserve">ca </w:t>
      </w:r>
      <w:r w:rsidR="00AF1B58" w:rsidRPr="00483DC7">
        <w:rPr>
          <w:rFonts w:ascii="Times New Roman" w:hAnsi="Times New Roman" w:cs="Times New Roman"/>
          <w:sz w:val="24"/>
          <w:szCs w:val="24"/>
          <w:lang w:val="ro-MD"/>
        </w:rPr>
        <w:t>urmare a analizei</w:t>
      </w:r>
      <w:r w:rsidR="00F35DD2" w:rsidRPr="00483DC7">
        <w:rPr>
          <w:rFonts w:ascii="Times New Roman" w:hAnsi="Times New Roman" w:cs="Times New Roman"/>
          <w:sz w:val="24"/>
          <w:szCs w:val="24"/>
          <w:lang w:val="ro-MD"/>
        </w:rPr>
        <w:t xml:space="preserve"> prevederilor </w:t>
      </w:r>
      <w:r w:rsidR="005E3827" w:rsidRPr="00483DC7">
        <w:rPr>
          <w:rFonts w:ascii="Times New Roman" w:hAnsi="Times New Roman" w:cs="Times New Roman"/>
          <w:sz w:val="24"/>
          <w:szCs w:val="24"/>
          <w:lang w:val="ro-MD"/>
        </w:rPr>
        <w:t>Legilor bugetului de stat pentru anul 2022</w:t>
      </w:r>
      <w:r w:rsidR="005E3827" w:rsidRPr="00483DC7">
        <w:rPr>
          <w:rStyle w:val="FootnoteReference"/>
          <w:rFonts w:ascii="Times New Roman" w:hAnsi="Times New Roman" w:cs="Times New Roman"/>
          <w:sz w:val="24"/>
          <w:szCs w:val="24"/>
          <w:lang w:val="ro-MD"/>
        </w:rPr>
        <w:footnoteReference w:id="16"/>
      </w:r>
      <w:r w:rsidR="005E3827" w:rsidRPr="00483DC7">
        <w:rPr>
          <w:rFonts w:ascii="Times New Roman" w:hAnsi="Times New Roman" w:cs="Times New Roman"/>
          <w:sz w:val="24"/>
          <w:szCs w:val="24"/>
          <w:lang w:val="ro-MD"/>
        </w:rPr>
        <w:t xml:space="preserve"> și</w:t>
      </w:r>
      <w:r w:rsidR="00777919">
        <w:rPr>
          <w:rFonts w:ascii="Times New Roman" w:hAnsi="Times New Roman" w:cs="Times New Roman"/>
          <w:sz w:val="24"/>
          <w:szCs w:val="24"/>
          <w:lang w:val="ro-MD"/>
        </w:rPr>
        <w:t>,</w:t>
      </w:r>
      <w:r w:rsidR="005E3827" w:rsidRPr="00483DC7">
        <w:rPr>
          <w:rFonts w:ascii="Times New Roman" w:hAnsi="Times New Roman" w:cs="Times New Roman"/>
          <w:sz w:val="24"/>
          <w:szCs w:val="24"/>
          <w:lang w:val="ro-MD"/>
        </w:rPr>
        <w:t xml:space="preserve"> respectiv</w:t>
      </w:r>
      <w:r w:rsidR="00777919">
        <w:rPr>
          <w:rFonts w:ascii="Times New Roman" w:hAnsi="Times New Roman" w:cs="Times New Roman"/>
          <w:sz w:val="24"/>
          <w:szCs w:val="24"/>
          <w:lang w:val="ro-MD"/>
        </w:rPr>
        <w:t>,</w:t>
      </w:r>
      <w:r w:rsidR="005E3827" w:rsidRPr="00483DC7">
        <w:rPr>
          <w:rFonts w:ascii="Times New Roman" w:hAnsi="Times New Roman" w:cs="Times New Roman"/>
          <w:sz w:val="24"/>
          <w:szCs w:val="24"/>
          <w:lang w:val="ro-MD"/>
        </w:rPr>
        <w:t xml:space="preserve"> anul 2023</w:t>
      </w:r>
      <w:r w:rsidR="005E3827" w:rsidRPr="00483DC7">
        <w:rPr>
          <w:rStyle w:val="FootnoteReference"/>
          <w:rFonts w:ascii="Times New Roman" w:hAnsi="Times New Roman" w:cs="Times New Roman"/>
          <w:sz w:val="24"/>
          <w:szCs w:val="24"/>
          <w:lang w:val="ro-MD"/>
        </w:rPr>
        <w:footnoteReference w:id="17"/>
      </w:r>
      <w:r w:rsidR="005E3827" w:rsidRPr="00483DC7">
        <w:rPr>
          <w:rFonts w:ascii="Times New Roman" w:hAnsi="Times New Roman" w:cs="Times New Roman"/>
          <w:sz w:val="24"/>
          <w:szCs w:val="24"/>
          <w:lang w:val="ro-MD"/>
        </w:rPr>
        <w:t>,</w:t>
      </w:r>
      <w:r w:rsidR="00AF1B58" w:rsidRPr="00483DC7">
        <w:rPr>
          <w:rFonts w:ascii="Times New Roman" w:hAnsi="Times New Roman" w:cs="Times New Roman"/>
          <w:sz w:val="24"/>
          <w:szCs w:val="24"/>
          <w:lang w:val="ro-MD"/>
        </w:rPr>
        <w:t xml:space="preserve"> auditul a stabilit că</w:t>
      </w:r>
      <w:r w:rsidR="005E3827" w:rsidRPr="00483DC7">
        <w:rPr>
          <w:rFonts w:ascii="Times New Roman" w:hAnsi="Times New Roman" w:cs="Times New Roman"/>
          <w:sz w:val="24"/>
          <w:szCs w:val="24"/>
          <w:lang w:val="ro-MD"/>
        </w:rPr>
        <w:t xml:space="preserve"> doar ADMA și ONDRL se regăsesc în Lista autorităților/instituțiilor publice la autogestiune beneficiare de finanțare de la BPN, aprobat</w:t>
      </w:r>
      <w:r w:rsidR="00397B68">
        <w:rPr>
          <w:rFonts w:ascii="Times New Roman" w:hAnsi="Times New Roman" w:cs="Times New Roman"/>
          <w:sz w:val="24"/>
          <w:szCs w:val="24"/>
          <w:lang w:val="ro-MD"/>
        </w:rPr>
        <w:t>ă</w:t>
      </w:r>
      <w:r w:rsidR="005E3827" w:rsidRPr="00483DC7">
        <w:rPr>
          <w:rFonts w:ascii="Times New Roman" w:hAnsi="Times New Roman" w:cs="Times New Roman"/>
          <w:sz w:val="24"/>
          <w:szCs w:val="24"/>
          <w:lang w:val="ro-MD"/>
        </w:rPr>
        <w:t xml:space="preserve"> prin Anexa nr.8 la </w:t>
      </w:r>
      <w:r w:rsidR="00397B68">
        <w:rPr>
          <w:rFonts w:ascii="Times New Roman" w:hAnsi="Times New Roman" w:cs="Times New Roman"/>
          <w:sz w:val="24"/>
          <w:szCs w:val="24"/>
          <w:lang w:val="ro-MD"/>
        </w:rPr>
        <w:t>l</w:t>
      </w:r>
      <w:r w:rsidR="005E3827" w:rsidRPr="00483DC7">
        <w:rPr>
          <w:rFonts w:ascii="Times New Roman" w:hAnsi="Times New Roman" w:cs="Times New Roman"/>
          <w:sz w:val="24"/>
          <w:szCs w:val="24"/>
          <w:lang w:val="ro-MD"/>
        </w:rPr>
        <w:t xml:space="preserve">egile nominalizate. </w:t>
      </w:r>
      <w:r w:rsidRPr="00483DC7">
        <w:rPr>
          <w:rFonts w:ascii="Times New Roman" w:hAnsi="Times New Roman" w:cs="Times New Roman"/>
          <w:sz w:val="24"/>
          <w:szCs w:val="24"/>
          <w:lang w:val="ro-MD"/>
        </w:rPr>
        <w:t>Prin urmare, auditul concluzionează că</w:t>
      </w:r>
      <w:r w:rsidR="00777919">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w:t>
      </w:r>
      <w:r w:rsidR="00AF1B58" w:rsidRPr="00483DC7">
        <w:rPr>
          <w:rFonts w:ascii="Times New Roman" w:hAnsi="Times New Roman" w:cs="Times New Roman"/>
          <w:sz w:val="24"/>
          <w:szCs w:val="24"/>
          <w:lang w:val="ro-MD"/>
        </w:rPr>
        <w:t>n celelalte cazuri, nu sunt întrunite cerințele legale de finanțare a UIPFAE în baza principiilor de autogestiune.</w:t>
      </w:r>
    </w:p>
    <w:p w14:paraId="27D6E95E" w14:textId="70E5A821" w:rsidR="00EE541C" w:rsidRPr="00483DC7" w:rsidRDefault="005B1CB7" w:rsidP="005B1CB7">
      <w:pPr>
        <w:shd w:val="clear" w:color="auto" w:fill="FFFFFF"/>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eastAsia="Times New Roman" w:hAnsi="Times New Roman" w:cs="Times New Roman"/>
          <w:color w:val="000000" w:themeColor="text1"/>
          <w:sz w:val="24"/>
          <w:szCs w:val="24"/>
          <w:shd w:val="clear" w:color="auto" w:fill="FFFFFF"/>
          <w:lang w:val="ro-MD"/>
        </w:rPr>
        <w:t xml:space="preserve">Auditul relevă că implementarea proiectelor de asistență externă nu generează venituri proprii pentru instituțiile publice menționate. Prin urmare, </w:t>
      </w:r>
      <w:r w:rsidR="00EE541C" w:rsidRPr="00483DC7">
        <w:rPr>
          <w:rFonts w:ascii="Times New Roman" w:hAnsi="Times New Roman" w:cs="Times New Roman"/>
          <w:sz w:val="24"/>
          <w:szCs w:val="24"/>
          <w:lang w:val="ro-MD"/>
        </w:rPr>
        <w:t xml:space="preserve">principiile de autogestiune, care </w:t>
      </w:r>
      <w:r w:rsidRPr="00483DC7">
        <w:rPr>
          <w:rFonts w:ascii="Times New Roman" w:hAnsi="Times New Roman" w:cs="Times New Roman"/>
          <w:sz w:val="24"/>
          <w:szCs w:val="24"/>
          <w:lang w:val="ro-MD"/>
        </w:rPr>
        <w:t>presupun</w:t>
      </w:r>
      <w:r w:rsidR="00EE541C" w:rsidRPr="00483DC7">
        <w:rPr>
          <w:rFonts w:ascii="Times New Roman" w:hAnsi="Times New Roman" w:cs="Times New Roman"/>
          <w:sz w:val="24"/>
          <w:szCs w:val="24"/>
          <w:lang w:val="ro-MD"/>
        </w:rPr>
        <w:t xml:space="preserve"> aprobarea metodologiei de calculare a tarifelor, </w:t>
      </w:r>
      <w:r w:rsidRPr="00483DC7">
        <w:rPr>
          <w:rFonts w:ascii="Times New Roman" w:hAnsi="Times New Roman" w:cs="Times New Roman"/>
          <w:sz w:val="24"/>
          <w:szCs w:val="24"/>
          <w:lang w:val="ro-MD"/>
        </w:rPr>
        <w:t xml:space="preserve">a </w:t>
      </w:r>
      <w:r w:rsidR="00EE541C" w:rsidRPr="00483DC7">
        <w:rPr>
          <w:rFonts w:ascii="Times New Roman" w:hAnsi="Times New Roman" w:cs="Times New Roman"/>
          <w:sz w:val="24"/>
          <w:szCs w:val="24"/>
          <w:lang w:val="ro-MD"/>
        </w:rPr>
        <w:t>nomenclatorul</w:t>
      </w:r>
      <w:r w:rsidRPr="00483DC7">
        <w:rPr>
          <w:rFonts w:ascii="Times New Roman" w:hAnsi="Times New Roman" w:cs="Times New Roman"/>
          <w:sz w:val="24"/>
          <w:szCs w:val="24"/>
          <w:lang w:val="ro-MD"/>
        </w:rPr>
        <w:t>ui</w:t>
      </w:r>
      <w:r w:rsidR="00EE541C" w:rsidRPr="00483DC7">
        <w:rPr>
          <w:rFonts w:ascii="Times New Roman" w:hAnsi="Times New Roman" w:cs="Times New Roman"/>
          <w:sz w:val="24"/>
          <w:szCs w:val="24"/>
          <w:lang w:val="ro-MD"/>
        </w:rPr>
        <w:t xml:space="preserve"> tarifelor și </w:t>
      </w:r>
      <w:r w:rsidRPr="00483DC7">
        <w:rPr>
          <w:rFonts w:ascii="Times New Roman" w:hAnsi="Times New Roman" w:cs="Times New Roman"/>
          <w:sz w:val="24"/>
          <w:szCs w:val="24"/>
          <w:lang w:val="ro-MD"/>
        </w:rPr>
        <w:t xml:space="preserve">a </w:t>
      </w:r>
      <w:r w:rsidR="00EE541C" w:rsidRPr="00483DC7">
        <w:rPr>
          <w:rFonts w:ascii="Times New Roman" w:hAnsi="Times New Roman" w:cs="Times New Roman"/>
          <w:sz w:val="24"/>
          <w:szCs w:val="24"/>
          <w:lang w:val="ro-MD"/>
        </w:rPr>
        <w:t>cuantumul</w:t>
      </w:r>
      <w:r w:rsidRPr="00483DC7">
        <w:rPr>
          <w:rFonts w:ascii="Times New Roman" w:hAnsi="Times New Roman" w:cs="Times New Roman"/>
          <w:sz w:val="24"/>
          <w:szCs w:val="24"/>
          <w:lang w:val="ro-MD"/>
        </w:rPr>
        <w:t>ui</w:t>
      </w:r>
      <w:r w:rsidR="00EE541C" w:rsidRPr="00483DC7">
        <w:rPr>
          <w:rFonts w:ascii="Times New Roman" w:hAnsi="Times New Roman" w:cs="Times New Roman"/>
          <w:sz w:val="24"/>
          <w:szCs w:val="24"/>
          <w:lang w:val="ro-MD"/>
        </w:rPr>
        <w:t xml:space="preserve"> tarifelor </w:t>
      </w:r>
      <w:r w:rsidRPr="00483DC7">
        <w:rPr>
          <w:rFonts w:ascii="Times New Roman" w:hAnsi="Times New Roman" w:cs="Times New Roman"/>
          <w:sz w:val="24"/>
          <w:szCs w:val="24"/>
          <w:lang w:val="ro-MD"/>
        </w:rPr>
        <w:t>pentru</w:t>
      </w:r>
      <w:r w:rsidR="00EE541C" w:rsidRPr="00483DC7">
        <w:rPr>
          <w:rFonts w:ascii="Times New Roman" w:hAnsi="Times New Roman" w:cs="Times New Roman"/>
          <w:sz w:val="24"/>
          <w:szCs w:val="24"/>
          <w:lang w:val="ro-MD"/>
        </w:rPr>
        <w:t xml:space="preserve"> serviciile prestate, nu pot fi aplicate în cazul UIPFAE, </w:t>
      </w:r>
      <w:r w:rsidR="002343A3" w:rsidRPr="00483DC7">
        <w:rPr>
          <w:rFonts w:ascii="Times New Roman" w:hAnsi="Times New Roman" w:cs="Times New Roman"/>
          <w:sz w:val="24"/>
          <w:szCs w:val="24"/>
          <w:lang w:val="ro-MD"/>
        </w:rPr>
        <w:t xml:space="preserve">activitatea acestora </w:t>
      </w:r>
      <w:r w:rsidR="0079268D" w:rsidRPr="00483DC7">
        <w:rPr>
          <w:rFonts w:ascii="Times New Roman" w:hAnsi="Times New Roman" w:cs="Times New Roman"/>
          <w:sz w:val="24"/>
          <w:szCs w:val="24"/>
          <w:lang w:val="ro-MD"/>
        </w:rPr>
        <w:t>întrunind mai degrabă caracteristicile unei instituții bugetare.</w:t>
      </w:r>
    </w:p>
    <w:p w14:paraId="7AC3883F" w14:textId="04D253AF" w:rsidR="00A74F60" w:rsidRPr="00483DC7" w:rsidRDefault="00A74F60" w:rsidP="008453C7">
      <w:pPr>
        <w:shd w:val="clear" w:color="auto" w:fill="FFFFFF"/>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hAnsi="Times New Roman" w:cs="Times New Roman"/>
          <w:sz w:val="24"/>
          <w:szCs w:val="24"/>
          <w:shd w:val="clear" w:color="auto" w:fill="FFFFFF"/>
          <w:lang w:val="ro-MD"/>
        </w:rPr>
        <w:t>Conflictul dintre mandatul declarat și sarcinile executate de către instituțiile publice auditate este confirmat inclusiv prin modul de ținere a evidenței contabile și raportării financiare de către acestea. Astfel, auditul denotă că în 1</w:t>
      </w:r>
      <w:r w:rsidR="005A1D53">
        <w:rPr>
          <w:rFonts w:ascii="Times New Roman" w:hAnsi="Times New Roman" w:cs="Times New Roman"/>
          <w:sz w:val="24"/>
          <w:szCs w:val="24"/>
          <w:shd w:val="clear" w:color="auto" w:fill="FFFFFF"/>
          <w:lang w:val="ro-MD"/>
        </w:rPr>
        <w:t>0</w:t>
      </w:r>
      <w:r w:rsidRPr="00483DC7">
        <w:rPr>
          <w:rFonts w:ascii="Times New Roman" w:hAnsi="Times New Roman" w:cs="Times New Roman"/>
          <w:sz w:val="24"/>
          <w:szCs w:val="24"/>
          <w:shd w:val="clear" w:color="auto" w:fill="FFFFFF"/>
          <w:lang w:val="ro-MD"/>
        </w:rPr>
        <w:t xml:space="preserve"> din cele 12 cazuri analizate (cu excepția ADMA</w:t>
      </w:r>
      <w:r w:rsidR="005A1D53">
        <w:rPr>
          <w:rFonts w:ascii="Times New Roman" w:hAnsi="Times New Roman" w:cs="Times New Roman"/>
          <w:sz w:val="24"/>
          <w:szCs w:val="24"/>
          <w:shd w:val="clear" w:color="auto" w:fill="FFFFFF"/>
          <w:lang w:val="ro-MD"/>
        </w:rPr>
        <w:t xml:space="preserve"> și ONDRL</w:t>
      </w:r>
      <w:r w:rsidRPr="00483DC7">
        <w:rPr>
          <w:rFonts w:ascii="Times New Roman" w:hAnsi="Times New Roman" w:cs="Times New Roman"/>
          <w:sz w:val="24"/>
          <w:szCs w:val="24"/>
          <w:shd w:val="clear" w:color="auto" w:fill="FFFFFF"/>
          <w:lang w:val="ro-MD"/>
        </w:rPr>
        <w:t>), forma de planificare, executare și raportare a bugetului instituției publice s-a efectuat în conformitate cu prevederile Ordinului MF nr.216/2015</w:t>
      </w:r>
      <w:r w:rsidRPr="00483DC7">
        <w:rPr>
          <w:rStyle w:val="FootnoteReference"/>
          <w:rFonts w:ascii="Times New Roman" w:hAnsi="Times New Roman" w:cs="Times New Roman"/>
          <w:sz w:val="24"/>
          <w:szCs w:val="24"/>
          <w:shd w:val="clear" w:color="auto" w:fill="FFFFFF"/>
          <w:lang w:val="ro-MD"/>
        </w:rPr>
        <w:footnoteReference w:id="18"/>
      </w:r>
      <w:r w:rsidRPr="00483DC7">
        <w:rPr>
          <w:rFonts w:ascii="Times New Roman" w:hAnsi="Times New Roman" w:cs="Times New Roman"/>
          <w:sz w:val="24"/>
          <w:szCs w:val="24"/>
          <w:shd w:val="clear" w:color="auto" w:fill="FFFFFF"/>
          <w:lang w:val="ro-MD"/>
        </w:rPr>
        <w:t>, specific</w:t>
      </w:r>
      <w:r w:rsidR="00397B68">
        <w:rPr>
          <w:rFonts w:ascii="Times New Roman" w:hAnsi="Times New Roman" w:cs="Times New Roman"/>
          <w:sz w:val="24"/>
          <w:szCs w:val="24"/>
          <w:shd w:val="clear" w:color="auto" w:fill="FFFFFF"/>
          <w:lang w:val="ro-MD"/>
        </w:rPr>
        <w:t>e</w:t>
      </w:r>
      <w:r w:rsidRPr="00483DC7">
        <w:rPr>
          <w:rFonts w:ascii="Times New Roman" w:hAnsi="Times New Roman" w:cs="Times New Roman"/>
          <w:sz w:val="24"/>
          <w:szCs w:val="24"/>
          <w:shd w:val="clear" w:color="auto" w:fill="FFFFFF"/>
          <w:lang w:val="ro-MD"/>
        </w:rPr>
        <w:t xml:space="preserve"> instituțiilor publice bugetare de tip ORG2, iar reglementările specifice instituțiilor publice la autogestiune, prevăzute în Standardele naționale de contabilitate</w:t>
      </w:r>
      <w:r w:rsidRPr="00483DC7">
        <w:rPr>
          <w:rStyle w:val="FootnoteReference"/>
          <w:rFonts w:ascii="Times New Roman" w:hAnsi="Times New Roman" w:cs="Times New Roman"/>
          <w:sz w:val="24"/>
          <w:szCs w:val="24"/>
          <w:shd w:val="clear" w:color="auto" w:fill="FFFFFF"/>
          <w:lang w:val="ro-MD"/>
        </w:rPr>
        <w:footnoteReference w:id="19"/>
      </w:r>
      <w:r w:rsidRPr="00483DC7">
        <w:rPr>
          <w:rFonts w:ascii="Times New Roman" w:hAnsi="Times New Roman" w:cs="Times New Roman"/>
          <w:sz w:val="24"/>
          <w:szCs w:val="24"/>
          <w:shd w:val="clear" w:color="auto" w:fill="FFFFFF"/>
          <w:lang w:val="ro-MD"/>
        </w:rPr>
        <w:t>, au fost ignorate.</w:t>
      </w:r>
    </w:p>
    <w:p w14:paraId="19A7E5BF" w14:textId="5C6DAF40" w:rsidR="001F3ABE" w:rsidRPr="00483DC7" w:rsidRDefault="00A70948" w:rsidP="008453C7">
      <w:pPr>
        <w:shd w:val="clear" w:color="auto" w:fill="FFFFFF"/>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hAnsi="Times New Roman" w:cs="Times New Roman"/>
          <w:sz w:val="24"/>
          <w:szCs w:val="24"/>
          <w:shd w:val="clear" w:color="auto" w:fill="FFFFFF"/>
          <w:lang w:val="ro-MD"/>
        </w:rPr>
        <w:t>Potrivit explicațiilor UCIMP</w:t>
      </w:r>
      <w:r w:rsidR="00B85982">
        <w:rPr>
          <w:rFonts w:ascii="Times New Roman" w:hAnsi="Times New Roman" w:cs="Times New Roman"/>
          <w:sz w:val="24"/>
          <w:szCs w:val="24"/>
          <w:shd w:val="clear" w:color="auto" w:fill="FFFFFF"/>
          <w:lang w:val="ro-MD"/>
        </w:rPr>
        <w:t xml:space="preserve"> </w:t>
      </w:r>
      <w:r w:rsidRPr="00483DC7">
        <w:rPr>
          <w:rFonts w:ascii="Times New Roman" w:hAnsi="Times New Roman" w:cs="Times New Roman"/>
          <w:sz w:val="24"/>
          <w:szCs w:val="24"/>
          <w:shd w:val="clear" w:color="auto" w:fill="FFFFFF"/>
          <w:lang w:val="ro-MD"/>
        </w:rPr>
        <w:t xml:space="preserve">DS, </w:t>
      </w:r>
      <w:r w:rsidR="001F3ABE" w:rsidRPr="00483DC7">
        <w:rPr>
          <w:rFonts w:ascii="Times New Roman" w:hAnsi="Times New Roman" w:cs="Times New Roman"/>
          <w:sz w:val="24"/>
          <w:szCs w:val="24"/>
          <w:shd w:val="clear" w:color="auto" w:fill="FFFFFF"/>
          <w:lang w:val="ro-MD"/>
        </w:rPr>
        <w:t xml:space="preserve">începând cu anul 2023, instituția publică asigură ținerea evidenței contabile în conformitate cu îndrumările MF și </w:t>
      </w:r>
      <w:r w:rsidR="00777919">
        <w:rPr>
          <w:rFonts w:ascii="Times New Roman" w:hAnsi="Times New Roman" w:cs="Times New Roman"/>
          <w:sz w:val="24"/>
          <w:szCs w:val="24"/>
          <w:shd w:val="clear" w:color="auto" w:fill="FFFFFF"/>
          <w:lang w:val="ro-MD"/>
        </w:rPr>
        <w:t>cu prescripți</w:t>
      </w:r>
      <w:r w:rsidR="001F3ABE" w:rsidRPr="00483DC7">
        <w:rPr>
          <w:rFonts w:ascii="Times New Roman" w:hAnsi="Times New Roman" w:cs="Times New Roman"/>
          <w:sz w:val="24"/>
          <w:szCs w:val="24"/>
          <w:shd w:val="clear" w:color="auto" w:fill="FFFFFF"/>
          <w:lang w:val="ro-MD"/>
        </w:rPr>
        <w:t>i</w:t>
      </w:r>
      <w:r w:rsidR="00777919">
        <w:rPr>
          <w:rFonts w:ascii="Times New Roman" w:hAnsi="Times New Roman" w:cs="Times New Roman"/>
          <w:sz w:val="24"/>
          <w:szCs w:val="24"/>
          <w:shd w:val="clear" w:color="auto" w:fill="FFFFFF"/>
          <w:lang w:val="ro-MD"/>
        </w:rPr>
        <w:t>le</w:t>
      </w:r>
      <w:r w:rsidR="001F3ABE" w:rsidRPr="00483DC7">
        <w:rPr>
          <w:rFonts w:ascii="Times New Roman" w:hAnsi="Times New Roman" w:cs="Times New Roman"/>
          <w:sz w:val="24"/>
          <w:szCs w:val="24"/>
          <w:shd w:val="clear" w:color="auto" w:fill="FFFFFF"/>
          <w:lang w:val="ro-MD"/>
        </w:rPr>
        <w:t xml:space="preserve"> înaintate de către Inspecția Financiară, care menționează că „în cazul când alocațiile pentru implementarea proiectelor sunt prevăzute în bugetul de stat, UCIM</w:t>
      </w:r>
      <w:r w:rsidR="003845F2">
        <w:rPr>
          <w:rFonts w:ascii="Times New Roman" w:hAnsi="Times New Roman" w:cs="Times New Roman"/>
          <w:sz w:val="24"/>
          <w:szCs w:val="24"/>
          <w:shd w:val="clear" w:color="auto" w:fill="FFFFFF"/>
          <w:lang w:val="ro-MD"/>
        </w:rPr>
        <w:t>P</w:t>
      </w:r>
      <w:r w:rsidR="00B85982">
        <w:rPr>
          <w:rFonts w:ascii="Times New Roman" w:hAnsi="Times New Roman" w:cs="Times New Roman"/>
          <w:sz w:val="24"/>
          <w:szCs w:val="24"/>
          <w:shd w:val="clear" w:color="auto" w:fill="FFFFFF"/>
          <w:lang w:val="ro-MD"/>
        </w:rPr>
        <w:t xml:space="preserve"> </w:t>
      </w:r>
      <w:r w:rsidR="001F3ABE" w:rsidRPr="00483DC7">
        <w:rPr>
          <w:rFonts w:ascii="Times New Roman" w:hAnsi="Times New Roman" w:cs="Times New Roman"/>
          <w:sz w:val="24"/>
          <w:szCs w:val="24"/>
          <w:shd w:val="clear" w:color="auto" w:fill="FFFFFF"/>
          <w:lang w:val="ro-MD"/>
        </w:rPr>
        <w:t>DS va ține evidența contabilă și va prezenta situațiile financiare conform Standardelor Naționale de Contabilitate și prevederilor Legii contabilității și raportării financiare nr.287/2017, dar la întocmirea rapoartelor financiare ale proiectelor se va utiliza Tabelul de trecere a Planului de conturi contabile în sistemul bugetar la Planul general de conturi contabile în sectorul corporativ, aprobat prin Ordinul MF nr.28/2019”.</w:t>
      </w:r>
    </w:p>
    <w:p w14:paraId="3A4ED591" w14:textId="77777777" w:rsidR="00AC0011" w:rsidRPr="00483DC7" w:rsidRDefault="00E71491" w:rsidP="008453C7">
      <w:pPr>
        <w:shd w:val="clear" w:color="auto" w:fill="FFFFFF"/>
        <w:spacing w:after="0" w:line="276" w:lineRule="auto"/>
        <w:ind w:firstLine="709"/>
        <w:jc w:val="both"/>
        <w:rPr>
          <w:rFonts w:ascii="Times New Roman" w:eastAsia="Times New Roman" w:hAnsi="Times New Roman" w:cs="Times New Roman"/>
          <w:color w:val="000000" w:themeColor="text1"/>
          <w:sz w:val="24"/>
          <w:szCs w:val="24"/>
          <w:shd w:val="clear" w:color="auto" w:fill="FFFFFF"/>
          <w:lang w:val="ro-MD"/>
        </w:rPr>
      </w:pPr>
      <w:r w:rsidRPr="00483DC7">
        <w:rPr>
          <w:rFonts w:ascii="Times New Roman" w:eastAsia="Times New Roman" w:hAnsi="Times New Roman" w:cs="Times New Roman"/>
          <w:color w:val="000000" w:themeColor="text1"/>
          <w:sz w:val="24"/>
          <w:szCs w:val="24"/>
          <w:shd w:val="clear" w:color="auto" w:fill="FFFFFF"/>
          <w:lang w:val="ro-MD"/>
        </w:rPr>
        <w:t xml:space="preserve">În această ordine de idei, auditul </w:t>
      </w:r>
      <w:r w:rsidR="00AC0011" w:rsidRPr="00483DC7">
        <w:rPr>
          <w:rFonts w:ascii="Times New Roman" w:eastAsia="Times New Roman" w:hAnsi="Times New Roman" w:cs="Times New Roman"/>
          <w:color w:val="000000" w:themeColor="text1"/>
          <w:sz w:val="24"/>
          <w:szCs w:val="24"/>
          <w:shd w:val="clear" w:color="auto" w:fill="FFFFFF"/>
          <w:lang w:val="ro-MD"/>
        </w:rPr>
        <w:t>relevă</w:t>
      </w:r>
      <w:r w:rsidRPr="00483DC7">
        <w:rPr>
          <w:rFonts w:ascii="Times New Roman" w:eastAsia="Times New Roman" w:hAnsi="Times New Roman" w:cs="Times New Roman"/>
          <w:color w:val="000000" w:themeColor="text1"/>
          <w:sz w:val="24"/>
          <w:szCs w:val="24"/>
          <w:shd w:val="clear" w:color="auto" w:fill="FFFFFF"/>
          <w:lang w:val="ro-MD"/>
        </w:rPr>
        <w:t xml:space="preserve"> că există diferențe semnificative </w:t>
      </w:r>
      <w:r w:rsidR="008D0EB0" w:rsidRPr="00483DC7">
        <w:rPr>
          <w:rFonts w:ascii="Times New Roman" w:eastAsia="Times New Roman" w:hAnsi="Times New Roman" w:cs="Times New Roman"/>
          <w:color w:val="000000" w:themeColor="text1"/>
          <w:sz w:val="24"/>
          <w:szCs w:val="24"/>
          <w:shd w:val="clear" w:color="auto" w:fill="FFFFFF"/>
          <w:lang w:val="ro-MD"/>
        </w:rPr>
        <w:t>între aceste</w:t>
      </w:r>
      <w:r w:rsidRPr="00483DC7">
        <w:rPr>
          <w:rFonts w:ascii="Times New Roman" w:eastAsia="Times New Roman" w:hAnsi="Times New Roman" w:cs="Times New Roman"/>
          <w:color w:val="000000" w:themeColor="text1"/>
          <w:sz w:val="24"/>
          <w:szCs w:val="24"/>
          <w:shd w:val="clear" w:color="auto" w:fill="FFFFFF"/>
          <w:lang w:val="ro-MD"/>
        </w:rPr>
        <w:t xml:space="preserve"> două tipuri de instituții publice, care se exprimă prin:</w:t>
      </w:r>
    </w:p>
    <w:p w14:paraId="7D63FF1A" w14:textId="309ACC3F" w:rsidR="001A0F35" w:rsidRPr="00483DC7" w:rsidRDefault="00777919" w:rsidP="008453C7">
      <w:pPr>
        <w:pStyle w:val="ListParagraph"/>
        <w:numPr>
          <w:ilvl w:val="0"/>
          <w:numId w:val="2"/>
        </w:numPr>
        <w:shd w:val="clear" w:color="auto" w:fill="FFFFFF"/>
        <w:spacing w:after="0" w:line="276" w:lineRule="auto"/>
        <w:ind w:left="0" w:firstLine="426"/>
        <w:jc w:val="both"/>
        <w:rPr>
          <w:rFonts w:ascii="Times New Roman" w:eastAsia="Times New Roman" w:hAnsi="Times New Roman" w:cs="Times New Roman"/>
          <w:color w:val="000000" w:themeColor="text1"/>
          <w:sz w:val="24"/>
          <w:szCs w:val="24"/>
          <w:shd w:val="clear" w:color="auto" w:fill="FFFFFF"/>
          <w:lang w:val="ro-MD"/>
        </w:rPr>
      </w:pPr>
      <w:r>
        <w:rPr>
          <w:rFonts w:ascii="Times New Roman" w:eastAsia="Times New Roman" w:hAnsi="Times New Roman" w:cs="Times New Roman"/>
          <w:color w:val="000000" w:themeColor="text1"/>
          <w:sz w:val="24"/>
          <w:szCs w:val="24"/>
          <w:shd w:val="clear" w:color="auto" w:fill="FFFFFF"/>
          <w:lang w:val="ro-MD"/>
        </w:rPr>
        <w:t>i</w:t>
      </w:r>
      <w:r w:rsidR="001A0F35" w:rsidRPr="00483DC7">
        <w:rPr>
          <w:rFonts w:ascii="Times New Roman" w:eastAsia="Times New Roman" w:hAnsi="Times New Roman" w:cs="Times New Roman"/>
          <w:color w:val="000000" w:themeColor="text1"/>
          <w:sz w:val="24"/>
          <w:szCs w:val="24"/>
          <w:shd w:val="clear" w:color="auto" w:fill="FFFFFF"/>
          <w:lang w:val="ro-MD"/>
        </w:rPr>
        <w:t>nstituția bugetară este finanțată preponderent din bugetul de stat, adică din taxele și impozitele colectate de Guvern, cu scopul de a furniza servicii publice esențiale, fără a urmări</w:t>
      </w:r>
      <w:r>
        <w:rPr>
          <w:rFonts w:ascii="Times New Roman" w:eastAsia="Times New Roman" w:hAnsi="Times New Roman" w:cs="Times New Roman"/>
          <w:color w:val="000000" w:themeColor="text1"/>
          <w:sz w:val="24"/>
          <w:szCs w:val="24"/>
          <w:shd w:val="clear" w:color="auto" w:fill="FFFFFF"/>
          <w:lang w:val="ro-MD"/>
        </w:rPr>
        <w:t xml:space="preserve"> obținerea</w:t>
      </w:r>
      <w:r w:rsidR="001A0F35" w:rsidRPr="00483DC7">
        <w:rPr>
          <w:rFonts w:ascii="Times New Roman" w:eastAsia="Times New Roman" w:hAnsi="Times New Roman" w:cs="Times New Roman"/>
          <w:color w:val="000000" w:themeColor="text1"/>
          <w:sz w:val="24"/>
          <w:szCs w:val="24"/>
          <w:shd w:val="clear" w:color="auto" w:fill="FFFFFF"/>
          <w:lang w:val="ro-MD"/>
        </w:rPr>
        <w:t xml:space="preserve"> profitul</w:t>
      </w:r>
      <w:r>
        <w:rPr>
          <w:rFonts w:ascii="Times New Roman" w:eastAsia="Times New Roman" w:hAnsi="Times New Roman" w:cs="Times New Roman"/>
          <w:color w:val="000000" w:themeColor="text1"/>
          <w:sz w:val="24"/>
          <w:szCs w:val="24"/>
          <w:shd w:val="clear" w:color="auto" w:fill="FFFFFF"/>
          <w:lang w:val="ro-MD"/>
        </w:rPr>
        <w:t>ui</w:t>
      </w:r>
      <w:r w:rsidR="001A0F35" w:rsidRPr="00483DC7">
        <w:rPr>
          <w:rFonts w:ascii="Times New Roman" w:eastAsia="Times New Roman" w:hAnsi="Times New Roman" w:cs="Times New Roman"/>
          <w:color w:val="000000" w:themeColor="text1"/>
          <w:sz w:val="24"/>
          <w:szCs w:val="24"/>
          <w:shd w:val="clear" w:color="auto" w:fill="FFFFFF"/>
          <w:lang w:val="ro-MD"/>
        </w:rPr>
        <w:t xml:space="preserve">. În cazul instituției la autogestiune, finanțarea </w:t>
      </w:r>
      <w:r w:rsidR="0079268D" w:rsidRPr="00483DC7">
        <w:rPr>
          <w:rFonts w:ascii="Times New Roman" w:eastAsia="Times New Roman" w:hAnsi="Times New Roman" w:cs="Times New Roman"/>
          <w:color w:val="000000" w:themeColor="text1"/>
          <w:sz w:val="24"/>
          <w:szCs w:val="24"/>
          <w:shd w:val="clear" w:color="auto" w:fill="FFFFFF"/>
          <w:lang w:val="ro-MD"/>
        </w:rPr>
        <w:t>se urmărește a fi</w:t>
      </w:r>
      <w:r w:rsidR="001A0F35" w:rsidRPr="00483DC7">
        <w:rPr>
          <w:rFonts w:ascii="Times New Roman" w:eastAsia="Times New Roman" w:hAnsi="Times New Roman" w:cs="Times New Roman"/>
          <w:color w:val="000000" w:themeColor="text1"/>
          <w:sz w:val="24"/>
          <w:szCs w:val="24"/>
          <w:shd w:val="clear" w:color="auto" w:fill="FFFFFF"/>
          <w:lang w:val="ro-MD"/>
        </w:rPr>
        <w:t xml:space="preserve"> efectuată</w:t>
      </w:r>
      <w:r w:rsidR="0079268D" w:rsidRPr="00483DC7">
        <w:rPr>
          <w:rFonts w:ascii="Times New Roman" w:eastAsia="Times New Roman" w:hAnsi="Times New Roman" w:cs="Times New Roman"/>
          <w:color w:val="000000" w:themeColor="text1"/>
          <w:sz w:val="24"/>
          <w:szCs w:val="24"/>
          <w:shd w:val="clear" w:color="auto" w:fill="FFFFFF"/>
          <w:lang w:val="ro-MD"/>
        </w:rPr>
        <w:t xml:space="preserve"> preponderent</w:t>
      </w:r>
      <w:r w:rsidR="001A0F35" w:rsidRPr="00483DC7">
        <w:rPr>
          <w:rFonts w:ascii="Times New Roman" w:eastAsia="Times New Roman" w:hAnsi="Times New Roman" w:cs="Times New Roman"/>
          <w:color w:val="000000" w:themeColor="text1"/>
          <w:sz w:val="24"/>
          <w:szCs w:val="24"/>
          <w:shd w:val="clear" w:color="auto" w:fill="FFFFFF"/>
          <w:lang w:val="ro-MD"/>
        </w:rPr>
        <w:t xml:space="preserve"> din veniturile proprii, prin urmare instituția </w:t>
      </w:r>
      <w:r w:rsidR="0079268D" w:rsidRPr="00483DC7">
        <w:rPr>
          <w:rFonts w:ascii="Times New Roman" w:eastAsia="Times New Roman" w:hAnsi="Times New Roman" w:cs="Times New Roman"/>
          <w:color w:val="000000" w:themeColor="text1"/>
          <w:sz w:val="24"/>
          <w:szCs w:val="24"/>
          <w:shd w:val="clear" w:color="auto" w:fill="FFFFFF"/>
          <w:lang w:val="ro-MD"/>
        </w:rPr>
        <w:t>fiind orientată</w:t>
      </w:r>
      <w:r w:rsidR="001A0F35" w:rsidRPr="00483DC7">
        <w:rPr>
          <w:rFonts w:ascii="Times New Roman" w:eastAsia="Times New Roman" w:hAnsi="Times New Roman" w:cs="Times New Roman"/>
          <w:color w:val="000000" w:themeColor="text1"/>
          <w:sz w:val="24"/>
          <w:szCs w:val="24"/>
          <w:shd w:val="clear" w:color="auto" w:fill="FFFFFF"/>
          <w:lang w:val="ro-MD"/>
        </w:rPr>
        <w:t xml:space="preserve"> </w:t>
      </w:r>
      <w:r w:rsidR="0079268D" w:rsidRPr="00483DC7">
        <w:rPr>
          <w:rFonts w:ascii="Times New Roman" w:eastAsia="Times New Roman" w:hAnsi="Times New Roman" w:cs="Times New Roman"/>
          <w:color w:val="000000" w:themeColor="text1"/>
          <w:sz w:val="24"/>
          <w:szCs w:val="24"/>
          <w:shd w:val="clear" w:color="auto" w:fill="FFFFFF"/>
          <w:lang w:val="ro-MD"/>
        </w:rPr>
        <w:t>spre</w:t>
      </w:r>
      <w:r w:rsidR="001A0F35" w:rsidRPr="00483DC7">
        <w:rPr>
          <w:rFonts w:ascii="Times New Roman" w:eastAsia="Times New Roman" w:hAnsi="Times New Roman" w:cs="Times New Roman"/>
          <w:color w:val="000000" w:themeColor="text1"/>
          <w:sz w:val="24"/>
          <w:szCs w:val="24"/>
          <w:shd w:val="clear" w:color="auto" w:fill="FFFFFF"/>
          <w:lang w:val="ro-MD"/>
        </w:rPr>
        <w:t xml:space="preserve"> furnizarea serviciilor publice, </w:t>
      </w:r>
      <w:r w:rsidR="002343A3" w:rsidRPr="00483DC7">
        <w:rPr>
          <w:rFonts w:ascii="Times New Roman" w:eastAsia="Times New Roman" w:hAnsi="Times New Roman" w:cs="Times New Roman"/>
          <w:color w:val="000000" w:themeColor="text1"/>
          <w:sz w:val="24"/>
          <w:szCs w:val="24"/>
          <w:shd w:val="clear" w:color="auto" w:fill="FFFFFF"/>
          <w:lang w:val="ro-MD"/>
        </w:rPr>
        <w:t xml:space="preserve">cât </w:t>
      </w:r>
      <w:r w:rsidR="001A0F35" w:rsidRPr="00483DC7">
        <w:rPr>
          <w:rFonts w:ascii="Times New Roman" w:eastAsia="Times New Roman" w:hAnsi="Times New Roman" w:cs="Times New Roman"/>
          <w:color w:val="000000" w:themeColor="text1"/>
          <w:sz w:val="24"/>
          <w:szCs w:val="24"/>
          <w:shd w:val="clear" w:color="auto" w:fill="FFFFFF"/>
          <w:lang w:val="ro-MD"/>
        </w:rPr>
        <w:t>și</w:t>
      </w:r>
      <w:r w:rsidR="0079268D" w:rsidRPr="00483DC7">
        <w:rPr>
          <w:rFonts w:ascii="Times New Roman" w:eastAsia="Times New Roman" w:hAnsi="Times New Roman" w:cs="Times New Roman"/>
          <w:color w:val="000000" w:themeColor="text1"/>
          <w:sz w:val="24"/>
          <w:szCs w:val="24"/>
          <w:shd w:val="clear" w:color="auto" w:fill="FFFFFF"/>
          <w:lang w:val="ro-MD"/>
        </w:rPr>
        <w:t xml:space="preserve"> spre</w:t>
      </w:r>
      <w:r w:rsidR="001A0F35" w:rsidRPr="00483DC7">
        <w:rPr>
          <w:rFonts w:ascii="Times New Roman" w:eastAsia="Times New Roman" w:hAnsi="Times New Roman" w:cs="Times New Roman"/>
          <w:color w:val="000000" w:themeColor="text1"/>
          <w:sz w:val="24"/>
          <w:szCs w:val="24"/>
          <w:shd w:val="clear" w:color="auto" w:fill="FFFFFF"/>
          <w:lang w:val="ro-MD"/>
        </w:rPr>
        <w:t xml:space="preserve"> ge</w:t>
      </w:r>
      <w:r>
        <w:rPr>
          <w:rFonts w:ascii="Times New Roman" w:eastAsia="Times New Roman" w:hAnsi="Times New Roman" w:cs="Times New Roman"/>
          <w:color w:val="000000" w:themeColor="text1"/>
          <w:sz w:val="24"/>
          <w:szCs w:val="24"/>
          <w:shd w:val="clear" w:color="auto" w:fill="FFFFFF"/>
          <w:lang w:val="ro-MD"/>
        </w:rPr>
        <w:t>nerarea de venituri proprii;</w:t>
      </w:r>
    </w:p>
    <w:p w14:paraId="003E8A13" w14:textId="00715207" w:rsidR="001A0F35" w:rsidRPr="00483DC7" w:rsidRDefault="00777919" w:rsidP="008453C7">
      <w:pPr>
        <w:pStyle w:val="ListParagraph"/>
        <w:numPr>
          <w:ilvl w:val="0"/>
          <w:numId w:val="2"/>
        </w:numPr>
        <w:shd w:val="clear" w:color="auto" w:fill="FFFFFF"/>
        <w:spacing w:after="0" w:line="276" w:lineRule="auto"/>
        <w:ind w:left="0" w:firstLine="426"/>
        <w:jc w:val="both"/>
        <w:rPr>
          <w:rFonts w:ascii="Times New Roman" w:eastAsia="Times New Roman" w:hAnsi="Times New Roman" w:cs="Times New Roman"/>
          <w:color w:val="000000" w:themeColor="text1"/>
          <w:sz w:val="24"/>
          <w:szCs w:val="24"/>
          <w:shd w:val="clear" w:color="auto" w:fill="FFFFFF"/>
          <w:lang w:val="ro-MD"/>
        </w:rPr>
      </w:pPr>
      <w:r>
        <w:rPr>
          <w:rFonts w:ascii="Times New Roman" w:eastAsia="Times New Roman" w:hAnsi="Times New Roman" w:cs="Times New Roman"/>
          <w:color w:val="000000" w:themeColor="text1"/>
          <w:sz w:val="24"/>
          <w:szCs w:val="24"/>
          <w:shd w:val="clear" w:color="auto" w:fill="FFFFFF"/>
          <w:lang w:val="ro-MD"/>
        </w:rPr>
        <w:t>r</w:t>
      </w:r>
      <w:r w:rsidR="008D0EB0" w:rsidRPr="00483DC7">
        <w:rPr>
          <w:rFonts w:ascii="Times New Roman" w:eastAsia="Times New Roman" w:hAnsi="Times New Roman" w:cs="Times New Roman"/>
          <w:color w:val="000000" w:themeColor="text1"/>
          <w:sz w:val="24"/>
          <w:szCs w:val="24"/>
          <w:shd w:val="clear" w:color="auto" w:fill="FFFFFF"/>
          <w:lang w:val="ro-MD"/>
        </w:rPr>
        <w:t xml:space="preserve">egimul de administrare a instituției bugetare este mult mai </w:t>
      </w:r>
      <w:r w:rsidR="00324767">
        <w:rPr>
          <w:rFonts w:ascii="Times New Roman" w:eastAsia="Times New Roman" w:hAnsi="Times New Roman" w:cs="Times New Roman"/>
          <w:color w:val="000000" w:themeColor="text1"/>
          <w:sz w:val="24"/>
          <w:szCs w:val="24"/>
          <w:shd w:val="clear" w:color="auto" w:fill="FFFFFF"/>
          <w:lang w:val="ro-MD"/>
        </w:rPr>
        <w:t>restrictiv</w:t>
      </w:r>
      <w:r w:rsidR="008D0EB0" w:rsidRPr="00483DC7">
        <w:rPr>
          <w:rFonts w:ascii="Times New Roman" w:eastAsia="Times New Roman" w:hAnsi="Times New Roman" w:cs="Times New Roman"/>
          <w:color w:val="000000" w:themeColor="text1"/>
          <w:sz w:val="24"/>
          <w:szCs w:val="24"/>
          <w:shd w:val="clear" w:color="auto" w:fill="FFFFFF"/>
          <w:lang w:val="ro-MD"/>
        </w:rPr>
        <w:t xml:space="preserve"> decât cel al instituției la autogestiune. </w:t>
      </w:r>
      <w:r w:rsidR="001A0F35" w:rsidRPr="00483DC7">
        <w:rPr>
          <w:rFonts w:ascii="Times New Roman" w:eastAsia="Times New Roman" w:hAnsi="Times New Roman" w:cs="Times New Roman"/>
          <w:color w:val="000000" w:themeColor="text1"/>
          <w:sz w:val="24"/>
          <w:szCs w:val="24"/>
          <w:shd w:val="clear" w:color="auto" w:fill="FFFFFF"/>
          <w:lang w:val="ro-MD"/>
        </w:rPr>
        <w:t xml:space="preserve">Astfel, instituția bugetară este supusă unui control strict din partea autorităților publice, având reguli și reglementări clare pentru utilizarea fondurilor publice. </w:t>
      </w:r>
      <w:r w:rsidR="00A14212" w:rsidRPr="00483DC7">
        <w:rPr>
          <w:rFonts w:ascii="Times New Roman" w:eastAsia="Times New Roman" w:hAnsi="Times New Roman" w:cs="Times New Roman"/>
          <w:color w:val="000000" w:themeColor="text1"/>
          <w:sz w:val="24"/>
          <w:szCs w:val="24"/>
          <w:shd w:val="clear" w:color="auto" w:fill="FFFFFF"/>
          <w:lang w:val="ro-MD"/>
        </w:rPr>
        <w:t xml:space="preserve">Instituția la </w:t>
      </w:r>
      <w:r w:rsidR="00A14212" w:rsidRPr="00483DC7">
        <w:rPr>
          <w:rFonts w:ascii="Times New Roman" w:eastAsia="Times New Roman" w:hAnsi="Times New Roman" w:cs="Times New Roman"/>
          <w:color w:val="000000" w:themeColor="text1"/>
          <w:sz w:val="24"/>
          <w:szCs w:val="24"/>
          <w:shd w:val="clear" w:color="auto" w:fill="FFFFFF"/>
          <w:lang w:val="ro-MD"/>
        </w:rPr>
        <w:lastRenderedPageBreak/>
        <w:t xml:space="preserve">autogestiune, deși </w:t>
      </w:r>
      <w:r w:rsidR="00EE541C" w:rsidRPr="00483DC7">
        <w:rPr>
          <w:rFonts w:ascii="Times New Roman" w:eastAsia="Times New Roman" w:hAnsi="Times New Roman" w:cs="Times New Roman"/>
          <w:color w:val="000000" w:themeColor="text1"/>
          <w:sz w:val="24"/>
          <w:szCs w:val="24"/>
          <w:shd w:val="clear" w:color="auto" w:fill="FFFFFF"/>
          <w:lang w:val="ro-MD"/>
        </w:rPr>
        <w:t>este creată și reglementată de către autoritatea publică</w:t>
      </w:r>
      <w:r w:rsidR="00A14212" w:rsidRPr="00483DC7">
        <w:rPr>
          <w:rFonts w:ascii="Times New Roman" w:eastAsia="Times New Roman" w:hAnsi="Times New Roman" w:cs="Times New Roman"/>
          <w:color w:val="000000" w:themeColor="text1"/>
          <w:sz w:val="24"/>
          <w:szCs w:val="24"/>
          <w:shd w:val="clear" w:color="auto" w:fill="FFFFFF"/>
          <w:lang w:val="ro-MD"/>
        </w:rPr>
        <w:t xml:space="preserve"> central</w:t>
      </w:r>
      <w:r w:rsidR="00EE541C" w:rsidRPr="00483DC7">
        <w:rPr>
          <w:rFonts w:ascii="Times New Roman" w:eastAsia="Times New Roman" w:hAnsi="Times New Roman" w:cs="Times New Roman"/>
          <w:color w:val="000000" w:themeColor="text1"/>
          <w:sz w:val="24"/>
          <w:szCs w:val="24"/>
          <w:shd w:val="clear" w:color="auto" w:fill="FFFFFF"/>
          <w:lang w:val="ro-MD"/>
        </w:rPr>
        <w:t>ă, are</w:t>
      </w:r>
      <w:r w:rsidR="00A14212" w:rsidRPr="00483DC7">
        <w:rPr>
          <w:rFonts w:ascii="Times New Roman" w:eastAsia="Times New Roman" w:hAnsi="Times New Roman" w:cs="Times New Roman"/>
          <w:color w:val="000000" w:themeColor="text1"/>
          <w:sz w:val="24"/>
          <w:szCs w:val="24"/>
          <w:shd w:val="clear" w:color="auto" w:fill="FFFFFF"/>
          <w:lang w:val="ro-MD"/>
        </w:rPr>
        <w:t xml:space="preserve"> capacitatea de a lua decizii independente în funcționarea </w:t>
      </w:r>
      <w:r w:rsidR="00EE541C" w:rsidRPr="00483DC7">
        <w:rPr>
          <w:rFonts w:ascii="Times New Roman" w:eastAsia="Times New Roman" w:hAnsi="Times New Roman" w:cs="Times New Roman"/>
          <w:color w:val="000000" w:themeColor="text1"/>
          <w:sz w:val="24"/>
          <w:szCs w:val="24"/>
          <w:shd w:val="clear" w:color="auto" w:fill="FFFFFF"/>
          <w:lang w:val="ro-MD"/>
        </w:rPr>
        <w:t>sa</w:t>
      </w:r>
      <w:r w:rsidR="00A14212" w:rsidRPr="00483DC7">
        <w:rPr>
          <w:rFonts w:ascii="Times New Roman" w:eastAsia="Times New Roman" w:hAnsi="Times New Roman" w:cs="Times New Roman"/>
          <w:color w:val="000000" w:themeColor="text1"/>
          <w:sz w:val="24"/>
          <w:szCs w:val="24"/>
          <w:shd w:val="clear" w:color="auto" w:fill="FFFFFF"/>
          <w:lang w:val="ro-MD"/>
        </w:rPr>
        <w:t>;</w:t>
      </w:r>
    </w:p>
    <w:p w14:paraId="7A43B7AA" w14:textId="372003F3" w:rsidR="008D0EB0" w:rsidRPr="00483DC7" w:rsidRDefault="00777919" w:rsidP="008453C7">
      <w:pPr>
        <w:pStyle w:val="ListParagraph"/>
        <w:numPr>
          <w:ilvl w:val="0"/>
          <w:numId w:val="2"/>
        </w:numPr>
        <w:shd w:val="clear" w:color="auto" w:fill="FFFFFF"/>
        <w:spacing w:after="0" w:line="276" w:lineRule="auto"/>
        <w:ind w:left="0" w:firstLine="426"/>
        <w:jc w:val="both"/>
        <w:rPr>
          <w:rFonts w:ascii="Times New Roman" w:eastAsia="Times New Roman" w:hAnsi="Times New Roman" w:cs="Times New Roman"/>
          <w:color w:val="000000" w:themeColor="text1"/>
          <w:sz w:val="24"/>
          <w:szCs w:val="24"/>
          <w:shd w:val="clear" w:color="auto" w:fill="FFFFFF"/>
          <w:lang w:val="ro-MD"/>
        </w:rPr>
      </w:pPr>
      <w:r>
        <w:rPr>
          <w:rFonts w:ascii="Times New Roman" w:eastAsia="Times New Roman" w:hAnsi="Times New Roman" w:cs="Times New Roman"/>
          <w:color w:val="000000" w:themeColor="text1"/>
          <w:sz w:val="24"/>
          <w:szCs w:val="24"/>
          <w:shd w:val="clear" w:color="auto" w:fill="FFFFFF"/>
          <w:lang w:val="ro-MD"/>
        </w:rPr>
        <w:t>d</w:t>
      </w:r>
      <w:r w:rsidR="00EE541C" w:rsidRPr="00483DC7">
        <w:rPr>
          <w:rFonts w:ascii="Times New Roman" w:eastAsia="Times New Roman" w:hAnsi="Times New Roman" w:cs="Times New Roman"/>
          <w:color w:val="000000" w:themeColor="text1"/>
          <w:sz w:val="24"/>
          <w:szCs w:val="24"/>
          <w:shd w:val="clear" w:color="auto" w:fill="FFFFFF"/>
          <w:lang w:val="ro-MD"/>
        </w:rPr>
        <w:t xml:space="preserve">atorită reglementărilor stricte și a controlului centralizat, instituțiile publice bugetare pot fi mai rigide în ceea ce privește implementarea de noi idei sau inovații. În același timp, instituțiile publice la autogestiune, </w:t>
      </w:r>
      <w:r w:rsidR="00A06B61" w:rsidRPr="00483DC7">
        <w:rPr>
          <w:rFonts w:ascii="Times New Roman" w:eastAsia="Times New Roman" w:hAnsi="Times New Roman" w:cs="Times New Roman"/>
          <w:color w:val="000000" w:themeColor="text1"/>
          <w:sz w:val="24"/>
          <w:szCs w:val="24"/>
          <w:shd w:val="clear" w:color="auto" w:fill="FFFFFF"/>
          <w:lang w:val="ro-MD"/>
        </w:rPr>
        <w:t xml:space="preserve">având </w:t>
      </w:r>
      <w:r w:rsidR="00EE541C" w:rsidRPr="00483DC7">
        <w:rPr>
          <w:rFonts w:ascii="Times New Roman" w:eastAsia="Times New Roman" w:hAnsi="Times New Roman" w:cs="Times New Roman"/>
          <w:color w:val="000000" w:themeColor="text1"/>
          <w:sz w:val="24"/>
          <w:szCs w:val="24"/>
          <w:shd w:val="clear" w:color="auto" w:fill="FFFFFF"/>
          <w:lang w:val="ro-MD"/>
        </w:rPr>
        <w:t xml:space="preserve">o autonomie mai mare, pot fi mai flexibile și receptive la dezvoltarea unor soluții inovatoare adaptate schimbărilor survenite. </w:t>
      </w:r>
      <w:r w:rsidR="00CB6F82" w:rsidRPr="00483DC7">
        <w:rPr>
          <w:rFonts w:ascii="Times New Roman" w:eastAsia="Times New Roman" w:hAnsi="Times New Roman" w:cs="Times New Roman"/>
          <w:i/>
          <w:color w:val="000000" w:themeColor="text1"/>
          <w:sz w:val="24"/>
          <w:szCs w:val="24"/>
          <w:shd w:val="clear" w:color="auto" w:fill="FFFFFF"/>
          <w:lang w:val="ro-MD"/>
        </w:rPr>
        <w:t xml:space="preserve"> </w:t>
      </w:r>
    </w:p>
    <w:p w14:paraId="12EA00E1" w14:textId="3AB584E8" w:rsidR="00A5164B" w:rsidRPr="00483DC7" w:rsidRDefault="005E3827" w:rsidP="00F26B00">
      <w:pPr>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hAnsi="Times New Roman" w:cs="Times New Roman"/>
          <w:sz w:val="24"/>
          <w:szCs w:val="24"/>
          <w:shd w:val="clear" w:color="auto" w:fill="FFFFFF"/>
          <w:lang w:val="ro-MD"/>
        </w:rPr>
        <w:t>În concluzie, delimitarea clară a formei organizatorico-juridic</w:t>
      </w:r>
      <w:r w:rsidR="005B1CB7" w:rsidRPr="00483DC7">
        <w:rPr>
          <w:rFonts w:ascii="Times New Roman" w:hAnsi="Times New Roman" w:cs="Times New Roman"/>
          <w:sz w:val="24"/>
          <w:szCs w:val="24"/>
          <w:shd w:val="clear" w:color="auto" w:fill="FFFFFF"/>
          <w:lang w:val="ro-MD"/>
        </w:rPr>
        <w:t>e</w:t>
      </w:r>
      <w:r w:rsidRPr="00483DC7">
        <w:rPr>
          <w:rFonts w:ascii="Times New Roman" w:hAnsi="Times New Roman" w:cs="Times New Roman"/>
          <w:sz w:val="24"/>
          <w:szCs w:val="24"/>
          <w:shd w:val="clear" w:color="auto" w:fill="FFFFFF"/>
          <w:lang w:val="ro-MD"/>
        </w:rPr>
        <w:t xml:space="preserve"> a UIPFAE este esențială în asigurarea funcționării eficiente și sustenabile a instituțiilor publice respective, diminuând riscurile aferente: i) nerespectării cadrului legal de ținere a evidenței contabile și raportării financiare; ii) ineficienței operaționale a instituțiilor publice, ca rezultat al apariției interpretărilor eronate a sarcinilor și responsabilitățil</w:t>
      </w:r>
      <w:r w:rsidR="00F26B00" w:rsidRPr="00483DC7">
        <w:rPr>
          <w:rFonts w:ascii="Times New Roman" w:hAnsi="Times New Roman" w:cs="Times New Roman"/>
          <w:sz w:val="24"/>
          <w:szCs w:val="24"/>
          <w:shd w:val="clear" w:color="auto" w:fill="FFFFFF"/>
          <w:lang w:val="ro-MD"/>
        </w:rPr>
        <w:t>or între angajați și conducere.</w:t>
      </w:r>
    </w:p>
    <w:p w14:paraId="53F63FBB" w14:textId="27C1ACE3" w:rsidR="00155F66" w:rsidRPr="00483DC7" w:rsidRDefault="00155F66" w:rsidP="00F26B00">
      <w:pPr>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hAnsi="Times New Roman" w:cs="Times New Roman"/>
          <w:sz w:val="24"/>
          <w:szCs w:val="24"/>
          <w:shd w:val="clear" w:color="auto" w:fill="FFFFFF"/>
          <w:lang w:val="ro-MD"/>
        </w:rPr>
        <w:t xml:space="preserve">Astfel, în scopul atingerii performanțelor maxime în activitatea UIPFAE, urmează a fi asigurată capacitatea instituției de ași folosi resursele cât mai eficient, prin setarea și integrarea în timp a obiectivelor funcționale, pornind în primul rând de la structura organizatorică, precum și cultura organizatorică a instituției publice, care, în lipsa unei viziuni clare, bine stabilite și uniformizate la nivel de țară, riscă </w:t>
      </w:r>
      <w:r w:rsidR="00777919">
        <w:rPr>
          <w:rFonts w:ascii="Times New Roman" w:hAnsi="Times New Roman" w:cs="Times New Roman"/>
          <w:sz w:val="24"/>
          <w:szCs w:val="24"/>
          <w:shd w:val="clear" w:color="auto" w:fill="FFFFFF"/>
          <w:lang w:val="ro-MD"/>
        </w:rPr>
        <w:t>să</w:t>
      </w:r>
      <w:r w:rsidRPr="00483DC7">
        <w:rPr>
          <w:rFonts w:ascii="Times New Roman" w:hAnsi="Times New Roman" w:cs="Times New Roman"/>
          <w:sz w:val="24"/>
          <w:szCs w:val="24"/>
          <w:shd w:val="clear" w:color="auto" w:fill="FFFFFF"/>
          <w:lang w:val="ro-MD"/>
        </w:rPr>
        <w:t xml:space="preserve"> gener</w:t>
      </w:r>
      <w:r w:rsidR="00777919">
        <w:rPr>
          <w:rFonts w:ascii="Times New Roman" w:hAnsi="Times New Roman" w:cs="Times New Roman"/>
          <w:sz w:val="24"/>
          <w:szCs w:val="24"/>
          <w:shd w:val="clear" w:color="auto" w:fill="FFFFFF"/>
          <w:lang w:val="ro-MD"/>
        </w:rPr>
        <w:t>eze</w:t>
      </w:r>
      <w:r w:rsidRPr="00483DC7">
        <w:rPr>
          <w:rFonts w:ascii="Times New Roman" w:hAnsi="Times New Roman" w:cs="Times New Roman"/>
          <w:sz w:val="24"/>
          <w:szCs w:val="24"/>
          <w:shd w:val="clear" w:color="auto" w:fill="FFFFFF"/>
          <w:lang w:val="ro-MD"/>
        </w:rPr>
        <w:t xml:space="preserve"> rezultate sporadice, în mare parte lipsite de previziune și proceduri de monitorizare și raportare bazate pe criterii clare de performanță. </w:t>
      </w:r>
    </w:p>
    <w:p w14:paraId="36306CDD" w14:textId="77F9E333" w:rsidR="008453C7" w:rsidRPr="00483DC7" w:rsidRDefault="00192B68" w:rsidP="00980FBE">
      <w:pPr>
        <w:spacing w:before="240"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 xml:space="preserve">4.1.1.2. </w:t>
      </w:r>
      <w:r w:rsidR="008453C7" w:rsidRPr="00483DC7">
        <w:rPr>
          <w:rFonts w:ascii="Times New Roman" w:hAnsi="Times New Roman" w:cs="Times New Roman"/>
          <w:b/>
          <w:sz w:val="24"/>
          <w:szCs w:val="24"/>
          <w:lang w:val="ro-MD"/>
        </w:rPr>
        <w:t>Cadrul organizatoric și juridic aferent relațiilor din</w:t>
      </w:r>
      <w:r w:rsidR="00764FA8" w:rsidRPr="00483DC7">
        <w:rPr>
          <w:rFonts w:ascii="Times New Roman" w:hAnsi="Times New Roman" w:cs="Times New Roman"/>
          <w:b/>
          <w:sz w:val="24"/>
          <w:szCs w:val="24"/>
          <w:lang w:val="ro-MD"/>
        </w:rPr>
        <w:t>tre</w:t>
      </w:r>
      <w:r w:rsidR="008453C7" w:rsidRPr="00483DC7">
        <w:rPr>
          <w:rFonts w:ascii="Times New Roman" w:hAnsi="Times New Roman" w:cs="Times New Roman"/>
          <w:b/>
          <w:sz w:val="24"/>
          <w:szCs w:val="24"/>
          <w:lang w:val="ro-MD"/>
        </w:rPr>
        <w:t xml:space="preserve"> </w:t>
      </w:r>
      <w:r w:rsidR="003F46F4">
        <w:rPr>
          <w:rFonts w:ascii="Times New Roman" w:hAnsi="Times New Roman" w:cs="Times New Roman"/>
          <w:b/>
          <w:sz w:val="24"/>
          <w:szCs w:val="24"/>
          <w:lang w:val="ro-MD"/>
        </w:rPr>
        <w:t>m</w:t>
      </w:r>
      <w:r w:rsidR="008453C7" w:rsidRPr="00483DC7">
        <w:rPr>
          <w:rFonts w:ascii="Times New Roman" w:hAnsi="Times New Roman" w:cs="Times New Roman"/>
          <w:b/>
          <w:sz w:val="24"/>
          <w:szCs w:val="24"/>
          <w:lang w:val="ro-MD"/>
        </w:rPr>
        <w:t>inisterele de ramură și instituțiile publice subordonate acestora necesită a fi îmbunătățit, în vederea asigurării consecvenței proces</w:t>
      </w:r>
      <w:r w:rsidR="00BB4FAE" w:rsidRPr="00483DC7">
        <w:rPr>
          <w:rFonts w:ascii="Times New Roman" w:hAnsi="Times New Roman" w:cs="Times New Roman"/>
          <w:b/>
          <w:sz w:val="24"/>
          <w:szCs w:val="24"/>
          <w:lang w:val="ro-MD"/>
        </w:rPr>
        <w:t>elor</w:t>
      </w:r>
      <w:r w:rsidR="00830904" w:rsidRPr="00483DC7">
        <w:rPr>
          <w:rFonts w:ascii="Times New Roman" w:hAnsi="Times New Roman" w:cs="Times New Roman"/>
          <w:b/>
          <w:sz w:val="24"/>
          <w:szCs w:val="24"/>
          <w:lang w:val="ro-MD"/>
        </w:rPr>
        <w:t xml:space="preserve"> operațional</w:t>
      </w:r>
      <w:r w:rsidR="00BB4FAE" w:rsidRPr="00483DC7">
        <w:rPr>
          <w:rFonts w:ascii="Times New Roman" w:hAnsi="Times New Roman" w:cs="Times New Roman"/>
          <w:b/>
          <w:sz w:val="24"/>
          <w:szCs w:val="24"/>
          <w:lang w:val="ro-MD"/>
        </w:rPr>
        <w:t>e</w:t>
      </w:r>
      <w:r w:rsidR="00830904" w:rsidRPr="00483DC7">
        <w:rPr>
          <w:rFonts w:ascii="Times New Roman" w:hAnsi="Times New Roman" w:cs="Times New Roman"/>
          <w:b/>
          <w:sz w:val="24"/>
          <w:szCs w:val="24"/>
          <w:lang w:val="ro-MD"/>
        </w:rPr>
        <w:t xml:space="preserve"> </w:t>
      </w:r>
      <w:r w:rsidR="00BB4FAE" w:rsidRPr="00483DC7">
        <w:rPr>
          <w:rFonts w:ascii="Times New Roman" w:hAnsi="Times New Roman" w:cs="Times New Roman"/>
          <w:b/>
          <w:sz w:val="24"/>
          <w:szCs w:val="24"/>
          <w:lang w:val="ro-MD"/>
        </w:rPr>
        <w:t>în activitatea</w:t>
      </w:r>
      <w:r w:rsidR="00830904" w:rsidRPr="00483DC7">
        <w:rPr>
          <w:rFonts w:ascii="Times New Roman" w:hAnsi="Times New Roman" w:cs="Times New Roman"/>
          <w:b/>
          <w:sz w:val="24"/>
          <w:szCs w:val="24"/>
          <w:lang w:val="ro-MD"/>
        </w:rPr>
        <w:t xml:space="preserve"> </w:t>
      </w:r>
      <w:r w:rsidR="008453C7" w:rsidRPr="00483DC7">
        <w:rPr>
          <w:rFonts w:ascii="Times New Roman" w:hAnsi="Times New Roman" w:cs="Times New Roman"/>
          <w:b/>
          <w:sz w:val="24"/>
          <w:szCs w:val="24"/>
          <w:lang w:val="ro-MD"/>
        </w:rPr>
        <w:t xml:space="preserve">UIPFAE. </w:t>
      </w:r>
    </w:p>
    <w:p w14:paraId="7ACD2BCE" w14:textId="0636E2BF" w:rsidR="00393695" w:rsidRPr="00483DC7" w:rsidRDefault="00393695" w:rsidP="00764FA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Ministerele de ramură, în calitate de fondatori ai UIPFAE, au un rol esențial în asigurarea continuității și sustenabilității instituțiilor publice subordonate pe termen lung, prin: i) definirea scopului principal și</w:t>
      </w:r>
      <w:r w:rsidR="00777919">
        <w:rPr>
          <w:rFonts w:ascii="Times New Roman" w:hAnsi="Times New Roman" w:cs="Times New Roman"/>
          <w:sz w:val="24"/>
          <w:szCs w:val="24"/>
          <w:lang w:val="ro-MD"/>
        </w:rPr>
        <w:t xml:space="preserve"> stabilirea</w:t>
      </w:r>
      <w:r w:rsidRPr="00483DC7">
        <w:rPr>
          <w:rFonts w:ascii="Times New Roman" w:hAnsi="Times New Roman" w:cs="Times New Roman"/>
          <w:sz w:val="24"/>
          <w:szCs w:val="24"/>
          <w:lang w:val="ro-MD"/>
        </w:rPr>
        <w:t xml:space="preserve"> direcți</w:t>
      </w:r>
      <w:r w:rsidR="00777919">
        <w:rPr>
          <w:rFonts w:ascii="Times New Roman" w:hAnsi="Times New Roman" w:cs="Times New Roman"/>
          <w:sz w:val="24"/>
          <w:szCs w:val="24"/>
          <w:lang w:val="ro-MD"/>
        </w:rPr>
        <w:t>ei strategice</w:t>
      </w:r>
      <w:r w:rsidRPr="00483DC7">
        <w:rPr>
          <w:rFonts w:ascii="Times New Roman" w:hAnsi="Times New Roman" w:cs="Times New Roman"/>
          <w:sz w:val="24"/>
          <w:szCs w:val="24"/>
          <w:lang w:val="ro-MD"/>
        </w:rPr>
        <w:t xml:space="preserve"> pe termen lung al</w:t>
      </w:r>
      <w:r w:rsidR="00777919">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UIPFAE</w:t>
      </w:r>
      <w:r w:rsidR="00FE55E1" w:rsidRPr="00483DC7">
        <w:rPr>
          <w:rFonts w:ascii="Times New Roman" w:hAnsi="Times New Roman" w:cs="Times New Roman"/>
          <w:sz w:val="24"/>
          <w:szCs w:val="24"/>
          <w:lang w:val="ro-MD"/>
        </w:rPr>
        <w:t xml:space="preserve">, oferind suport și îndrumare conducerii instituțiilor publice subordonate în atingerea obiectivelor setate; </w:t>
      </w:r>
      <w:r w:rsidRPr="00483DC7">
        <w:rPr>
          <w:rFonts w:ascii="Times New Roman" w:hAnsi="Times New Roman" w:cs="Times New Roman"/>
          <w:sz w:val="24"/>
          <w:szCs w:val="24"/>
          <w:lang w:val="ro-MD"/>
        </w:rPr>
        <w:t xml:space="preserve">ii) crearea bazei legale necesare pentru funcționarea UIPFAE și asigurarea conformității activității acestora cu reglementările în vigoare; iii) </w:t>
      </w:r>
      <w:r w:rsidR="00FE55E1" w:rsidRPr="00483DC7">
        <w:rPr>
          <w:rFonts w:ascii="Times New Roman" w:hAnsi="Times New Roman" w:cs="Times New Roman"/>
          <w:sz w:val="24"/>
          <w:szCs w:val="24"/>
          <w:lang w:val="ro-MD"/>
        </w:rPr>
        <w:t>stabil</w:t>
      </w:r>
      <w:r w:rsidR="00764FA8" w:rsidRPr="00483DC7">
        <w:rPr>
          <w:rFonts w:ascii="Times New Roman" w:hAnsi="Times New Roman" w:cs="Times New Roman"/>
          <w:sz w:val="24"/>
          <w:szCs w:val="24"/>
          <w:lang w:val="ro-MD"/>
        </w:rPr>
        <w:t>irea</w:t>
      </w:r>
      <w:r w:rsidR="00FE55E1" w:rsidRPr="00483DC7">
        <w:rPr>
          <w:rFonts w:ascii="Times New Roman" w:hAnsi="Times New Roman" w:cs="Times New Roman"/>
          <w:sz w:val="24"/>
          <w:szCs w:val="24"/>
          <w:lang w:val="ro-MD"/>
        </w:rPr>
        <w:t xml:space="preserve"> obiectivel</w:t>
      </w:r>
      <w:r w:rsidR="00764FA8" w:rsidRPr="00483DC7">
        <w:rPr>
          <w:rFonts w:ascii="Times New Roman" w:hAnsi="Times New Roman" w:cs="Times New Roman"/>
          <w:sz w:val="24"/>
          <w:szCs w:val="24"/>
          <w:lang w:val="ro-MD"/>
        </w:rPr>
        <w:t>or</w:t>
      </w:r>
      <w:r w:rsidR="00FE55E1" w:rsidRPr="00483DC7">
        <w:rPr>
          <w:rFonts w:ascii="Times New Roman" w:hAnsi="Times New Roman" w:cs="Times New Roman"/>
          <w:sz w:val="24"/>
          <w:szCs w:val="24"/>
          <w:lang w:val="ro-MD"/>
        </w:rPr>
        <w:t xml:space="preserve"> ș</w:t>
      </w:r>
      <w:r w:rsidR="00764FA8" w:rsidRPr="00483DC7">
        <w:rPr>
          <w:rFonts w:ascii="Times New Roman" w:hAnsi="Times New Roman" w:cs="Times New Roman"/>
          <w:sz w:val="24"/>
          <w:szCs w:val="24"/>
          <w:lang w:val="ro-MD"/>
        </w:rPr>
        <w:t>i indicatorilor</w:t>
      </w:r>
      <w:r w:rsidR="00FE55E1" w:rsidRPr="00483DC7">
        <w:rPr>
          <w:rFonts w:ascii="Times New Roman" w:hAnsi="Times New Roman" w:cs="Times New Roman"/>
          <w:sz w:val="24"/>
          <w:szCs w:val="24"/>
          <w:lang w:val="ro-MD"/>
        </w:rPr>
        <w:t xml:space="preserve"> de performanță instituționali </w:t>
      </w:r>
      <w:r w:rsidR="00764FA8" w:rsidRPr="00483DC7">
        <w:rPr>
          <w:rFonts w:ascii="Times New Roman" w:hAnsi="Times New Roman" w:cs="Times New Roman"/>
          <w:sz w:val="24"/>
          <w:szCs w:val="24"/>
          <w:lang w:val="ro-MD"/>
        </w:rPr>
        <w:t>și evaluarea anuală a activității instituțiilor publice subordonate</w:t>
      </w:r>
      <w:r w:rsidR="00777919">
        <w:rPr>
          <w:rFonts w:ascii="Times New Roman" w:hAnsi="Times New Roman" w:cs="Times New Roman"/>
          <w:sz w:val="24"/>
          <w:szCs w:val="24"/>
          <w:lang w:val="ro-MD"/>
        </w:rPr>
        <w:t xml:space="preserve"> </w:t>
      </w:r>
      <w:r w:rsidR="00764FA8" w:rsidRPr="00483DC7">
        <w:rPr>
          <w:rFonts w:ascii="Times New Roman" w:hAnsi="Times New Roman" w:cs="Times New Roman"/>
          <w:sz w:val="24"/>
          <w:szCs w:val="24"/>
          <w:lang w:val="ro-MD"/>
        </w:rPr>
        <w:t xml:space="preserve">etc. </w:t>
      </w:r>
    </w:p>
    <w:p w14:paraId="2C166FA7" w14:textId="4D629A42" w:rsidR="00764FA8" w:rsidRPr="00483DC7" w:rsidRDefault="00192B68" w:rsidP="00764FA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perioada 2021-2023 structura ministerială a </w:t>
      </w:r>
      <w:r w:rsidR="00324767">
        <w:rPr>
          <w:rFonts w:ascii="Times New Roman" w:hAnsi="Times New Roman" w:cs="Times New Roman"/>
          <w:sz w:val="24"/>
          <w:szCs w:val="24"/>
          <w:lang w:val="ro-MD"/>
        </w:rPr>
        <w:t>suportat</w:t>
      </w:r>
      <w:r w:rsidRPr="00483DC7">
        <w:rPr>
          <w:rFonts w:ascii="Times New Roman" w:hAnsi="Times New Roman" w:cs="Times New Roman"/>
          <w:sz w:val="24"/>
          <w:szCs w:val="24"/>
          <w:lang w:val="ro-MD"/>
        </w:rPr>
        <w:t xml:space="preserve"> 2 modificări</w:t>
      </w:r>
      <w:r w:rsidRPr="00483DC7">
        <w:rPr>
          <w:rStyle w:val="FootnoteReference"/>
          <w:rFonts w:ascii="Times New Roman" w:hAnsi="Times New Roman" w:cs="Times New Roman"/>
          <w:sz w:val="24"/>
          <w:szCs w:val="24"/>
          <w:lang w:val="ro-MD"/>
        </w:rPr>
        <w:footnoteReference w:id="20"/>
      </w:r>
      <w:r w:rsidRPr="00483DC7">
        <w:rPr>
          <w:rFonts w:ascii="Times New Roman" w:hAnsi="Times New Roman" w:cs="Times New Roman"/>
          <w:sz w:val="24"/>
          <w:szCs w:val="24"/>
          <w:lang w:val="ro-MD"/>
        </w:rPr>
        <w:t>, în rezultat fiind majorat numărul ministerelo</w:t>
      </w:r>
      <w:r w:rsidR="00764FA8" w:rsidRPr="00483DC7">
        <w:rPr>
          <w:rFonts w:ascii="Times New Roman" w:hAnsi="Times New Roman" w:cs="Times New Roman"/>
          <w:sz w:val="24"/>
          <w:szCs w:val="24"/>
          <w:lang w:val="ro-MD"/>
        </w:rPr>
        <w:t>r de la 9 până la 14 ministere.</w:t>
      </w:r>
    </w:p>
    <w:p w14:paraId="73C63035" w14:textId="1A5FB5B0" w:rsidR="00192B68" w:rsidRPr="00483DC7" w:rsidRDefault="00192B68" w:rsidP="00764FA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Astfel, începând cu data de 06.08.2021</w:t>
      </w:r>
      <w:r w:rsidR="009A115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MADRM a fost reorganizat prin divizarea în 3 ministere noi: MAIA, MM și MIDR, M</w:t>
      </w:r>
      <w:r w:rsidR="00D14B6A">
        <w:rPr>
          <w:rFonts w:ascii="Times New Roman" w:hAnsi="Times New Roman" w:cs="Times New Roman"/>
          <w:sz w:val="24"/>
          <w:szCs w:val="24"/>
          <w:lang w:val="ro-MD"/>
        </w:rPr>
        <w:t>SMPS</w:t>
      </w:r>
      <w:r w:rsidR="0032476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în</w:t>
      </w:r>
      <w:r w:rsidR="009A115C">
        <w:rPr>
          <w:rFonts w:ascii="Times New Roman" w:hAnsi="Times New Roman" w:cs="Times New Roman"/>
          <w:sz w:val="24"/>
          <w:szCs w:val="24"/>
          <w:lang w:val="ro-MD"/>
        </w:rPr>
        <w:t xml:space="preserve"> 2 ministere noi:</w:t>
      </w:r>
      <w:r w:rsidRPr="00483DC7">
        <w:rPr>
          <w:rFonts w:ascii="Times New Roman" w:hAnsi="Times New Roman" w:cs="Times New Roman"/>
          <w:sz w:val="24"/>
          <w:szCs w:val="24"/>
          <w:lang w:val="ro-MD"/>
        </w:rPr>
        <w:t xml:space="preserve"> MS și MMPS</w:t>
      </w:r>
      <w:r w:rsidR="00324767">
        <w:rPr>
          <w:rFonts w:ascii="Times New Roman" w:hAnsi="Times New Roman" w:cs="Times New Roman"/>
          <w:sz w:val="24"/>
          <w:szCs w:val="24"/>
          <w:lang w:val="ro-MD"/>
        </w:rPr>
        <w:t>, iar MECC – în MEC și MC</w:t>
      </w:r>
      <w:r w:rsidRPr="00483DC7">
        <w:rPr>
          <w:rFonts w:ascii="Times New Roman" w:hAnsi="Times New Roman" w:cs="Times New Roman"/>
          <w:sz w:val="24"/>
          <w:szCs w:val="24"/>
          <w:lang w:val="ro-MD"/>
        </w:rPr>
        <w:t xml:space="preserve">. Totodată, începând cu </w:t>
      </w:r>
      <w:r w:rsidR="00324767">
        <w:rPr>
          <w:rFonts w:ascii="Times New Roman" w:hAnsi="Times New Roman" w:cs="Times New Roman"/>
          <w:sz w:val="24"/>
          <w:szCs w:val="24"/>
          <w:lang w:val="ro-MD"/>
        </w:rPr>
        <w:t>16.02.2023 a fost constituit un</w:t>
      </w:r>
      <w:r w:rsidRPr="00483DC7">
        <w:rPr>
          <w:rFonts w:ascii="Times New Roman" w:hAnsi="Times New Roman" w:cs="Times New Roman"/>
          <w:sz w:val="24"/>
          <w:szCs w:val="24"/>
          <w:lang w:val="ro-MD"/>
        </w:rPr>
        <w:t xml:space="preserve"> nou minister</w:t>
      </w:r>
      <w:r w:rsidR="00261456"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w:t>
      </w:r>
      <w:r w:rsidR="009A115C">
        <w:rPr>
          <w:rFonts w:ascii="Times New Roman" w:hAnsi="Times New Roman" w:cs="Times New Roman"/>
          <w:sz w:val="24"/>
          <w:szCs w:val="24"/>
          <w:lang w:val="ro-MD"/>
        </w:rPr>
        <w:t>cel al</w:t>
      </w:r>
      <w:r w:rsidRPr="00483DC7">
        <w:rPr>
          <w:rFonts w:ascii="Times New Roman" w:hAnsi="Times New Roman" w:cs="Times New Roman"/>
          <w:sz w:val="24"/>
          <w:szCs w:val="24"/>
          <w:lang w:val="ro-MD"/>
        </w:rPr>
        <w:t xml:space="preserve"> Energiei. </w:t>
      </w:r>
    </w:p>
    <w:p w14:paraId="15345997" w14:textId="60B3ADD7" w:rsidR="00192B68" w:rsidRPr="00483DC7" w:rsidRDefault="00192B68" w:rsidP="00764FA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Analizând</w:t>
      </w:r>
      <w:r w:rsidR="00764FA8" w:rsidRPr="00483DC7">
        <w:rPr>
          <w:rFonts w:ascii="Times New Roman" w:hAnsi="Times New Roman" w:cs="Times New Roman"/>
          <w:sz w:val="24"/>
          <w:szCs w:val="24"/>
          <w:lang w:val="ro-MD"/>
        </w:rPr>
        <w:t xml:space="preserve"> impactul modificărilor</w:t>
      </w:r>
      <w:r w:rsidRPr="00483DC7">
        <w:rPr>
          <w:rFonts w:ascii="Times New Roman" w:hAnsi="Times New Roman" w:cs="Times New Roman"/>
          <w:sz w:val="24"/>
          <w:szCs w:val="24"/>
          <w:lang w:val="ro-MD"/>
        </w:rPr>
        <w:t xml:space="preserve"> </w:t>
      </w:r>
      <w:r w:rsidR="009A115C">
        <w:rPr>
          <w:rFonts w:ascii="Times New Roman" w:hAnsi="Times New Roman" w:cs="Times New Roman"/>
          <w:sz w:val="24"/>
          <w:szCs w:val="24"/>
          <w:lang w:val="ro-MD"/>
        </w:rPr>
        <w:t xml:space="preserve">în </w:t>
      </w:r>
      <w:r w:rsidRPr="00483DC7">
        <w:rPr>
          <w:rFonts w:ascii="Times New Roman" w:hAnsi="Times New Roman" w:cs="Times New Roman"/>
          <w:sz w:val="24"/>
          <w:szCs w:val="24"/>
          <w:lang w:val="ro-MD"/>
        </w:rPr>
        <w:t>structur</w:t>
      </w:r>
      <w:r w:rsidR="009A115C">
        <w:rPr>
          <w:rFonts w:ascii="Times New Roman" w:hAnsi="Times New Roman" w:cs="Times New Roman"/>
          <w:sz w:val="24"/>
          <w:szCs w:val="24"/>
          <w:lang w:val="ro-MD"/>
        </w:rPr>
        <w:t>a</w:t>
      </w:r>
      <w:r w:rsidRPr="00483DC7">
        <w:rPr>
          <w:rFonts w:ascii="Times New Roman" w:hAnsi="Times New Roman" w:cs="Times New Roman"/>
          <w:sz w:val="24"/>
          <w:szCs w:val="24"/>
          <w:lang w:val="ro-MD"/>
        </w:rPr>
        <w:t xml:space="preserve"> ministerial</w:t>
      </w:r>
      <w:r w:rsidR="009A115C">
        <w:rPr>
          <w:rFonts w:ascii="Times New Roman" w:hAnsi="Times New Roman" w:cs="Times New Roman"/>
          <w:sz w:val="24"/>
          <w:szCs w:val="24"/>
          <w:lang w:val="ro-MD"/>
        </w:rPr>
        <w:t>ă</w:t>
      </w:r>
      <w:r w:rsidRPr="00483DC7">
        <w:rPr>
          <w:rFonts w:ascii="Times New Roman" w:hAnsi="Times New Roman" w:cs="Times New Roman"/>
          <w:sz w:val="24"/>
          <w:szCs w:val="24"/>
          <w:lang w:val="ro-MD"/>
        </w:rPr>
        <w:t xml:space="preserve"> a Guvernului asupra sistemului de management al asistenței externe, auditul a stabilit că doar 8 </w:t>
      </w:r>
      <w:r w:rsidR="009A115C">
        <w:rPr>
          <w:rFonts w:ascii="Times New Roman" w:hAnsi="Times New Roman" w:cs="Times New Roman"/>
          <w:sz w:val="24"/>
          <w:szCs w:val="24"/>
          <w:lang w:val="ro-MD"/>
        </w:rPr>
        <w:t>m</w:t>
      </w:r>
      <w:r w:rsidRPr="00483DC7">
        <w:rPr>
          <w:rFonts w:ascii="Times New Roman" w:hAnsi="Times New Roman" w:cs="Times New Roman"/>
          <w:sz w:val="24"/>
          <w:szCs w:val="24"/>
          <w:lang w:val="ro-MD"/>
        </w:rPr>
        <w:t>inistere</w:t>
      </w:r>
      <w:r w:rsidRPr="00483DC7">
        <w:rPr>
          <w:rStyle w:val="FootnoteReference"/>
          <w:rFonts w:ascii="Times New Roman" w:hAnsi="Times New Roman" w:cs="Times New Roman"/>
          <w:sz w:val="24"/>
          <w:szCs w:val="24"/>
          <w:lang w:val="ro-MD"/>
        </w:rPr>
        <w:footnoteReference w:id="21"/>
      </w:r>
      <w:r w:rsidRPr="00483DC7">
        <w:rPr>
          <w:rFonts w:ascii="Times New Roman" w:hAnsi="Times New Roman" w:cs="Times New Roman"/>
          <w:sz w:val="24"/>
          <w:szCs w:val="24"/>
          <w:lang w:val="ro-MD"/>
        </w:rPr>
        <w:t xml:space="preserve"> au acționat în calitate de fondatori ai celor 12 UIPFAE, iar 6 ministere (MAE, MMPS, MA, MAI, MEC și MC) nu au instituite UIPFAE în subordine, asigurând implementarea proiectelor finanțate din surse externe prin intermediul aparat</w:t>
      </w:r>
      <w:r w:rsidR="009A115C">
        <w:rPr>
          <w:rFonts w:ascii="Times New Roman" w:hAnsi="Times New Roman" w:cs="Times New Roman"/>
          <w:sz w:val="24"/>
          <w:szCs w:val="24"/>
          <w:lang w:val="ro-MD"/>
        </w:rPr>
        <w:t>e</w:t>
      </w:r>
      <w:r w:rsidRPr="00483DC7">
        <w:rPr>
          <w:rFonts w:ascii="Times New Roman" w:hAnsi="Times New Roman" w:cs="Times New Roman"/>
          <w:sz w:val="24"/>
          <w:szCs w:val="24"/>
          <w:lang w:val="ro-MD"/>
        </w:rPr>
        <w:t>l</w:t>
      </w:r>
      <w:r w:rsidR="009A115C">
        <w:rPr>
          <w:rFonts w:ascii="Times New Roman" w:hAnsi="Times New Roman" w:cs="Times New Roman"/>
          <w:sz w:val="24"/>
          <w:szCs w:val="24"/>
          <w:lang w:val="ro-MD"/>
        </w:rPr>
        <w:t>or lor</w:t>
      </w:r>
      <w:r w:rsidRPr="00483DC7">
        <w:rPr>
          <w:rFonts w:ascii="Times New Roman" w:hAnsi="Times New Roman" w:cs="Times New Roman"/>
          <w:sz w:val="24"/>
          <w:szCs w:val="24"/>
          <w:lang w:val="ro-MD"/>
        </w:rPr>
        <w:t xml:space="preserve"> central</w:t>
      </w:r>
      <w:r w:rsidR="009A115C">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sau prin alte forme. </w:t>
      </w:r>
    </w:p>
    <w:p w14:paraId="145DC4E8" w14:textId="2903ECDD" w:rsidR="00192B68" w:rsidRDefault="00192B68" w:rsidP="00764FA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în aceeași perioadă,  pentru 10 Unități din cele 12 analizate (sau 83 %), funcția de fondator a fost transferată către un minister reorganizat sau nou-creat, excepție fiind OGPAE și UIPCPC, care pe toată perioada auditată au rămas în subordinea fondatorilor</w:t>
      </w:r>
      <w:r w:rsidR="009A115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MF și</w:t>
      </w:r>
      <w:r w:rsidR="009A115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respectiv</w:t>
      </w:r>
      <w:r w:rsidR="009A115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ANP, instituție subordonată MJ. </w:t>
      </w:r>
    </w:p>
    <w:p w14:paraId="3D2FB19D" w14:textId="6AFD15DA" w:rsidR="00A87BCE" w:rsidRDefault="00A87BCE" w:rsidP="00764FA8">
      <w:pPr>
        <w:spacing w:after="0" w:line="276" w:lineRule="auto"/>
        <w:ind w:firstLine="709"/>
        <w:jc w:val="both"/>
        <w:rPr>
          <w:rFonts w:ascii="Times New Roman" w:hAnsi="Times New Roman" w:cs="Times New Roman"/>
          <w:sz w:val="24"/>
          <w:szCs w:val="24"/>
          <w:lang w:val="ro-MD"/>
        </w:rPr>
      </w:pPr>
    </w:p>
    <w:p w14:paraId="0A3C39AB" w14:textId="66961BCD" w:rsidR="00A87BCE" w:rsidRDefault="00A87BCE" w:rsidP="00764FA8">
      <w:pPr>
        <w:spacing w:after="0" w:line="276" w:lineRule="auto"/>
        <w:ind w:firstLine="709"/>
        <w:jc w:val="both"/>
        <w:rPr>
          <w:rFonts w:ascii="Times New Roman" w:hAnsi="Times New Roman" w:cs="Times New Roman"/>
          <w:sz w:val="24"/>
          <w:szCs w:val="24"/>
          <w:lang w:val="ro-MD"/>
        </w:rPr>
      </w:pPr>
    </w:p>
    <w:p w14:paraId="27B5673C" w14:textId="77777777" w:rsidR="009A115C" w:rsidRPr="00483DC7" w:rsidRDefault="009A115C" w:rsidP="00764FA8">
      <w:pPr>
        <w:spacing w:after="0" w:line="276" w:lineRule="auto"/>
        <w:ind w:firstLine="709"/>
        <w:jc w:val="both"/>
        <w:rPr>
          <w:rFonts w:ascii="Times New Roman" w:hAnsi="Times New Roman" w:cs="Times New Roman"/>
          <w:sz w:val="24"/>
          <w:szCs w:val="24"/>
          <w:lang w:val="ro-MD"/>
        </w:rPr>
      </w:pPr>
    </w:p>
    <w:p w14:paraId="0C5AFE5D" w14:textId="77777777" w:rsidR="001F3ABE" w:rsidRPr="00483DC7" w:rsidRDefault="001F3ABE" w:rsidP="00764FA8">
      <w:pPr>
        <w:spacing w:after="0" w:line="276" w:lineRule="auto"/>
        <w:ind w:firstLine="709"/>
        <w:jc w:val="both"/>
        <w:rPr>
          <w:rFonts w:ascii="Times New Roman" w:hAnsi="Times New Roman" w:cs="Times New Roman"/>
          <w:sz w:val="24"/>
          <w:szCs w:val="24"/>
          <w:lang w:val="ro-MD"/>
        </w:rPr>
      </w:pPr>
    </w:p>
    <w:tbl>
      <w:tblPr>
        <w:tblStyle w:val="TableGrid"/>
        <w:tblW w:w="9356" w:type="dxa"/>
        <w:tblInd w:w="-5" w:type="dxa"/>
        <w:tblLayout w:type="fixed"/>
        <w:tblLook w:val="04A0" w:firstRow="1" w:lastRow="0" w:firstColumn="1" w:lastColumn="0" w:noHBand="0" w:noVBand="1"/>
      </w:tblPr>
      <w:tblGrid>
        <w:gridCol w:w="567"/>
        <w:gridCol w:w="1276"/>
        <w:gridCol w:w="1134"/>
        <w:gridCol w:w="1276"/>
        <w:gridCol w:w="1134"/>
        <w:gridCol w:w="1417"/>
        <w:gridCol w:w="1165"/>
        <w:gridCol w:w="1387"/>
      </w:tblGrid>
      <w:tr w:rsidR="00192B68" w:rsidRPr="00483DC7" w14:paraId="330E3CF4" w14:textId="77777777" w:rsidTr="008453C7">
        <w:tc>
          <w:tcPr>
            <w:tcW w:w="9356" w:type="dxa"/>
            <w:gridSpan w:val="8"/>
            <w:tcBorders>
              <w:top w:val="single" w:sz="4" w:space="0" w:color="FFFFFF"/>
              <w:left w:val="single" w:sz="4" w:space="0" w:color="FFFFFF"/>
              <w:right w:val="single" w:sz="4" w:space="0" w:color="FFFFFF"/>
            </w:tcBorders>
            <w:shd w:val="clear" w:color="auto" w:fill="auto"/>
          </w:tcPr>
          <w:p w14:paraId="6C57C3F5" w14:textId="77777777" w:rsidR="00192B68" w:rsidRPr="00483DC7" w:rsidRDefault="00192B68" w:rsidP="00EE670D">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lastRenderedPageBreak/>
              <w:t>Tabelul nr.1</w:t>
            </w:r>
          </w:p>
          <w:p w14:paraId="7E05795F" w14:textId="7618D19F" w:rsidR="00192B68" w:rsidRPr="00483DC7" w:rsidRDefault="00192B68" w:rsidP="009A115C">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Evoluția </w:t>
            </w:r>
            <w:r w:rsidR="009A115C">
              <w:rPr>
                <w:rFonts w:ascii="Times New Roman" w:hAnsi="Times New Roman" w:cs="Times New Roman"/>
                <w:b/>
                <w:sz w:val="18"/>
                <w:szCs w:val="18"/>
                <w:lang w:val="ro-MD"/>
              </w:rPr>
              <w:t>f</w:t>
            </w:r>
            <w:r w:rsidRPr="00483DC7">
              <w:rPr>
                <w:rFonts w:ascii="Times New Roman" w:hAnsi="Times New Roman" w:cs="Times New Roman"/>
                <w:b/>
                <w:sz w:val="18"/>
                <w:szCs w:val="18"/>
                <w:lang w:val="ro-MD"/>
              </w:rPr>
              <w:t xml:space="preserve">ondatorilor UIPFAE conform Hotărârilor de Guvern și </w:t>
            </w:r>
            <w:r w:rsidR="009A115C">
              <w:rPr>
                <w:rFonts w:ascii="Times New Roman" w:hAnsi="Times New Roman" w:cs="Times New Roman"/>
                <w:b/>
                <w:sz w:val="18"/>
                <w:szCs w:val="18"/>
                <w:lang w:val="ro-MD"/>
              </w:rPr>
              <w:t>a</w:t>
            </w:r>
            <w:r w:rsidRPr="00483DC7">
              <w:rPr>
                <w:rFonts w:ascii="Times New Roman" w:hAnsi="Times New Roman" w:cs="Times New Roman"/>
                <w:b/>
                <w:sz w:val="18"/>
                <w:szCs w:val="18"/>
                <w:lang w:val="ro-MD"/>
              </w:rPr>
              <w:t>ctualizăril</w:t>
            </w:r>
            <w:r w:rsidR="009A115C">
              <w:rPr>
                <w:rFonts w:ascii="Times New Roman" w:hAnsi="Times New Roman" w:cs="Times New Roman"/>
                <w:b/>
                <w:sz w:val="18"/>
                <w:szCs w:val="18"/>
                <w:lang w:val="ro-MD"/>
              </w:rPr>
              <w:t>or i</w:t>
            </w:r>
            <w:r w:rsidRPr="00483DC7">
              <w:rPr>
                <w:rFonts w:ascii="Times New Roman" w:hAnsi="Times New Roman" w:cs="Times New Roman"/>
                <w:b/>
                <w:sz w:val="18"/>
                <w:szCs w:val="18"/>
                <w:lang w:val="ro-MD"/>
              </w:rPr>
              <w:t>nstituționale (2021-2023)</w:t>
            </w:r>
          </w:p>
        </w:tc>
      </w:tr>
      <w:tr w:rsidR="00604442" w:rsidRPr="00483DC7" w14:paraId="4FD4F824" w14:textId="77777777" w:rsidTr="009A115C">
        <w:trPr>
          <w:trHeight w:val="1481"/>
        </w:trPr>
        <w:tc>
          <w:tcPr>
            <w:tcW w:w="567" w:type="dxa"/>
            <w:shd w:val="clear" w:color="auto" w:fill="DEEAF6" w:themeFill="accent1" w:themeFillTint="33"/>
            <w:vAlign w:val="center"/>
          </w:tcPr>
          <w:p w14:paraId="444537D4" w14:textId="7D560FB6" w:rsidR="00192B68" w:rsidRPr="00483DC7" w:rsidRDefault="00604442" w:rsidP="00604442">
            <w:pPr>
              <w:spacing w:line="276" w:lineRule="auto"/>
              <w:jc w:val="both"/>
              <w:rPr>
                <w:rFonts w:ascii="Times New Roman" w:hAnsi="Times New Roman" w:cs="Times New Roman"/>
                <w:b/>
                <w:sz w:val="18"/>
                <w:szCs w:val="18"/>
                <w:lang w:val="ro-MD"/>
              </w:rPr>
            </w:pPr>
            <w:r w:rsidRPr="00483DC7">
              <w:rPr>
                <w:rFonts w:ascii="Times New Roman" w:hAnsi="Times New Roman" w:cs="Times New Roman"/>
                <w:b/>
                <w:sz w:val="18"/>
                <w:szCs w:val="18"/>
                <w:lang w:val="ro-MD"/>
              </w:rPr>
              <w:t>Nr</w:t>
            </w:r>
            <w:r w:rsidR="009A115C">
              <w:rPr>
                <w:rFonts w:ascii="Times New Roman" w:hAnsi="Times New Roman" w:cs="Times New Roman"/>
                <w:b/>
                <w:sz w:val="18"/>
                <w:szCs w:val="18"/>
                <w:lang w:val="ro-MD"/>
              </w:rPr>
              <w:t>. crt.</w:t>
            </w:r>
          </w:p>
        </w:tc>
        <w:tc>
          <w:tcPr>
            <w:tcW w:w="1276" w:type="dxa"/>
            <w:shd w:val="clear" w:color="auto" w:fill="DEEAF6" w:themeFill="accent1" w:themeFillTint="33"/>
            <w:vAlign w:val="center"/>
          </w:tcPr>
          <w:p w14:paraId="2E7B9C07" w14:textId="77777777" w:rsidR="00192B68" w:rsidRPr="00483DC7" w:rsidRDefault="00192B68" w:rsidP="00604442">
            <w:pPr>
              <w:spacing w:line="276" w:lineRule="auto"/>
              <w:jc w:val="both"/>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Denumirea </w:t>
            </w:r>
            <w:r w:rsidR="00604442" w:rsidRPr="00483DC7">
              <w:rPr>
                <w:rFonts w:ascii="Times New Roman" w:hAnsi="Times New Roman" w:cs="Times New Roman"/>
                <w:b/>
                <w:sz w:val="18"/>
                <w:szCs w:val="18"/>
                <w:lang w:val="ro-MD"/>
              </w:rPr>
              <w:t>UIPFAE</w:t>
            </w:r>
          </w:p>
        </w:tc>
        <w:tc>
          <w:tcPr>
            <w:tcW w:w="1134" w:type="dxa"/>
            <w:shd w:val="clear" w:color="auto" w:fill="DEEAF6" w:themeFill="accent1" w:themeFillTint="33"/>
            <w:vAlign w:val="center"/>
          </w:tcPr>
          <w:p w14:paraId="571D947B" w14:textId="77777777" w:rsidR="00192B68" w:rsidRPr="00483DC7" w:rsidRDefault="00192B68" w:rsidP="00604442">
            <w:pPr>
              <w:spacing w:line="276" w:lineRule="auto"/>
              <w:jc w:val="both"/>
              <w:rPr>
                <w:rFonts w:ascii="Times New Roman" w:hAnsi="Times New Roman" w:cs="Times New Roman"/>
                <w:b/>
                <w:sz w:val="18"/>
                <w:szCs w:val="18"/>
                <w:lang w:val="ro-MD"/>
              </w:rPr>
            </w:pPr>
            <w:r w:rsidRPr="00483DC7">
              <w:rPr>
                <w:rFonts w:ascii="Times New Roman" w:hAnsi="Times New Roman" w:cs="Times New Roman"/>
                <w:b/>
                <w:bCs/>
                <w:color w:val="000000"/>
                <w:sz w:val="18"/>
                <w:szCs w:val="18"/>
                <w:lang w:val="ro-MD"/>
              </w:rPr>
              <w:t>Fondator al UIPFAE conform HG de constituire a UIPFAE</w:t>
            </w:r>
          </w:p>
        </w:tc>
        <w:tc>
          <w:tcPr>
            <w:tcW w:w="1276" w:type="dxa"/>
            <w:shd w:val="clear" w:color="auto" w:fill="DEEAF6" w:themeFill="accent1" w:themeFillTint="33"/>
            <w:vAlign w:val="center"/>
          </w:tcPr>
          <w:p w14:paraId="24D607A7" w14:textId="77777777" w:rsidR="00192B68" w:rsidRPr="00483DC7" w:rsidRDefault="00192B68" w:rsidP="00604442">
            <w:pPr>
              <w:jc w:val="both"/>
              <w:rPr>
                <w:rFonts w:ascii="Times New Roman" w:hAnsi="Times New Roman" w:cs="Times New Roman"/>
                <w:b/>
                <w:bCs/>
                <w:color w:val="000000"/>
                <w:sz w:val="18"/>
                <w:szCs w:val="18"/>
                <w:lang w:val="ro-MD"/>
              </w:rPr>
            </w:pPr>
            <w:r w:rsidRPr="00483DC7">
              <w:rPr>
                <w:rFonts w:ascii="Times New Roman" w:hAnsi="Times New Roman" w:cs="Times New Roman"/>
                <w:b/>
                <w:bCs/>
                <w:color w:val="000000"/>
                <w:sz w:val="18"/>
                <w:szCs w:val="18"/>
                <w:lang w:val="ro-MD"/>
              </w:rPr>
              <w:t>Fondator al UIPFAE conform HG de organizare și funcționare a ministerului, la 01.01.2021</w:t>
            </w:r>
            <w:r w:rsidRPr="00483DC7">
              <w:rPr>
                <w:rStyle w:val="FootnoteReference"/>
                <w:rFonts w:ascii="Times New Roman" w:hAnsi="Times New Roman" w:cs="Times New Roman"/>
                <w:b/>
                <w:bCs/>
                <w:color w:val="000000"/>
                <w:sz w:val="18"/>
                <w:szCs w:val="18"/>
                <w:lang w:val="ro-MD"/>
              </w:rPr>
              <w:footnoteReference w:id="22"/>
            </w:r>
          </w:p>
        </w:tc>
        <w:tc>
          <w:tcPr>
            <w:tcW w:w="1134" w:type="dxa"/>
            <w:shd w:val="clear" w:color="auto" w:fill="DEEAF6" w:themeFill="accent1" w:themeFillTint="33"/>
            <w:vAlign w:val="center"/>
          </w:tcPr>
          <w:p w14:paraId="41F06AC2" w14:textId="77777777" w:rsidR="00192B68" w:rsidRPr="00483DC7" w:rsidRDefault="00192B68" w:rsidP="00604442">
            <w:pPr>
              <w:jc w:val="both"/>
              <w:rPr>
                <w:rFonts w:ascii="Times New Roman" w:hAnsi="Times New Roman" w:cs="Times New Roman"/>
                <w:b/>
                <w:bCs/>
                <w:color w:val="000000"/>
                <w:sz w:val="18"/>
                <w:szCs w:val="18"/>
                <w:lang w:val="ro-MD"/>
              </w:rPr>
            </w:pPr>
            <w:r w:rsidRPr="00483DC7">
              <w:rPr>
                <w:rFonts w:ascii="Times New Roman" w:hAnsi="Times New Roman" w:cs="Times New Roman"/>
                <w:b/>
                <w:bCs/>
                <w:color w:val="000000"/>
                <w:sz w:val="18"/>
                <w:szCs w:val="18"/>
                <w:lang w:val="ro-MD"/>
              </w:rPr>
              <w:t>Fondator al UIPFAE conform HG de constituire a UIPFAE</w:t>
            </w:r>
          </w:p>
        </w:tc>
        <w:tc>
          <w:tcPr>
            <w:tcW w:w="1417" w:type="dxa"/>
            <w:shd w:val="clear" w:color="auto" w:fill="DEEAF6" w:themeFill="accent1" w:themeFillTint="33"/>
            <w:vAlign w:val="center"/>
          </w:tcPr>
          <w:p w14:paraId="3F3C6D31" w14:textId="77777777" w:rsidR="00192B68" w:rsidRPr="00483DC7" w:rsidRDefault="00192B68" w:rsidP="00604442">
            <w:pPr>
              <w:jc w:val="both"/>
              <w:rPr>
                <w:rFonts w:ascii="Times New Roman" w:hAnsi="Times New Roman" w:cs="Times New Roman"/>
                <w:b/>
                <w:bCs/>
                <w:color w:val="000000"/>
                <w:sz w:val="18"/>
                <w:szCs w:val="18"/>
                <w:lang w:val="ro-MD"/>
              </w:rPr>
            </w:pPr>
            <w:r w:rsidRPr="00483DC7">
              <w:rPr>
                <w:rFonts w:ascii="Times New Roman" w:hAnsi="Times New Roman" w:cs="Times New Roman"/>
                <w:b/>
                <w:bCs/>
                <w:color w:val="000000"/>
                <w:sz w:val="18"/>
                <w:szCs w:val="18"/>
                <w:lang w:val="ro-MD"/>
              </w:rPr>
              <w:t>Fondator al UIPFAE conform HG de organizare și funcționare a ministerului, la 06.08.2021</w:t>
            </w:r>
            <w:r w:rsidRPr="00483DC7">
              <w:rPr>
                <w:rStyle w:val="FootnoteReference"/>
                <w:rFonts w:ascii="Times New Roman" w:hAnsi="Times New Roman" w:cs="Times New Roman"/>
                <w:b/>
                <w:bCs/>
                <w:color w:val="000000"/>
                <w:sz w:val="18"/>
                <w:szCs w:val="18"/>
                <w:lang w:val="ro-MD"/>
              </w:rPr>
              <w:footnoteReference w:id="23"/>
            </w:r>
          </w:p>
        </w:tc>
        <w:tc>
          <w:tcPr>
            <w:tcW w:w="1165" w:type="dxa"/>
            <w:shd w:val="clear" w:color="auto" w:fill="DEEAF6" w:themeFill="accent1" w:themeFillTint="33"/>
            <w:vAlign w:val="center"/>
          </w:tcPr>
          <w:p w14:paraId="0C35CD0A" w14:textId="77777777" w:rsidR="00192B68" w:rsidRPr="00483DC7" w:rsidRDefault="00192B68" w:rsidP="00604442">
            <w:pPr>
              <w:jc w:val="both"/>
              <w:rPr>
                <w:rFonts w:ascii="Times New Roman" w:hAnsi="Times New Roman" w:cs="Times New Roman"/>
                <w:b/>
                <w:bCs/>
                <w:color w:val="000000"/>
                <w:sz w:val="18"/>
                <w:szCs w:val="18"/>
                <w:lang w:val="ro-MD"/>
              </w:rPr>
            </w:pPr>
            <w:r w:rsidRPr="00483DC7">
              <w:rPr>
                <w:rFonts w:ascii="Times New Roman" w:hAnsi="Times New Roman" w:cs="Times New Roman"/>
                <w:b/>
                <w:bCs/>
                <w:color w:val="000000"/>
                <w:sz w:val="18"/>
                <w:szCs w:val="18"/>
                <w:lang w:val="ro-MD"/>
              </w:rPr>
              <w:t>Fondator al UIPFAE conform HG de constituire a UIPFAE</w:t>
            </w:r>
          </w:p>
        </w:tc>
        <w:tc>
          <w:tcPr>
            <w:tcW w:w="1387" w:type="dxa"/>
            <w:shd w:val="clear" w:color="auto" w:fill="DEEAF6" w:themeFill="accent1" w:themeFillTint="33"/>
            <w:vAlign w:val="center"/>
          </w:tcPr>
          <w:p w14:paraId="0707C31E" w14:textId="77777777" w:rsidR="00192B68" w:rsidRPr="00483DC7" w:rsidRDefault="00192B68" w:rsidP="00604442">
            <w:pPr>
              <w:jc w:val="both"/>
              <w:rPr>
                <w:rFonts w:ascii="Times New Roman" w:hAnsi="Times New Roman" w:cs="Times New Roman"/>
                <w:b/>
                <w:bCs/>
                <w:color w:val="000000"/>
                <w:sz w:val="18"/>
                <w:szCs w:val="18"/>
                <w:lang w:val="ro-MD"/>
              </w:rPr>
            </w:pPr>
            <w:r w:rsidRPr="00483DC7">
              <w:rPr>
                <w:rFonts w:ascii="Times New Roman" w:hAnsi="Times New Roman" w:cs="Times New Roman"/>
                <w:b/>
                <w:bCs/>
                <w:color w:val="000000"/>
                <w:sz w:val="18"/>
                <w:szCs w:val="18"/>
                <w:lang w:val="ro-MD"/>
              </w:rPr>
              <w:t>Fondator al UIPFAE conform HG de organizare și funcționare a ministerului, la 31.12.2023</w:t>
            </w:r>
            <w:r w:rsidRPr="00483DC7">
              <w:rPr>
                <w:rStyle w:val="FootnoteReference"/>
                <w:rFonts w:ascii="Times New Roman" w:hAnsi="Times New Roman" w:cs="Times New Roman"/>
                <w:b/>
                <w:bCs/>
                <w:color w:val="000000"/>
                <w:sz w:val="18"/>
                <w:szCs w:val="18"/>
                <w:lang w:val="ro-MD"/>
              </w:rPr>
              <w:footnoteReference w:id="24"/>
            </w:r>
          </w:p>
        </w:tc>
      </w:tr>
      <w:tr w:rsidR="00604442" w:rsidRPr="00483DC7" w14:paraId="2CA19D19" w14:textId="77777777" w:rsidTr="009A115C">
        <w:tc>
          <w:tcPr>
            <w:tcW w:w="567" w:type="dxa"/>
            <w:shd w:val="clear" w:color="auto" w:fill="auto"/>
          </w:tcPr>
          <w:p w14:paraId="3840574B"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276" w:type="dxa"/>
            <w:shd w:val="clear" w:color="auto" w:fill="auto"/>
            <w:vAlign w:val="center"/>
          </w:tcPr>
          <w:p w14:paraId="1761A666"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ADMA</w:t>
            </w:r>
          </w:p>
        </w:tc>
        <w:tc>
          <w:tcPr>
            <w:tcW w:w="1134" w:type="dxa"/>
            <w:shd w:val="clear" w:color="auto" w:fill="auto"/>
          </w:tcPr>
          <w:p w14:paraId="18395BD7"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6B851734"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MADRM</w:t>
            </w:r>
          </w:p>
        </w:tc>
        <w:tc>
          <w:tcPr>
            <w:tcW w:w="1134" w:type="dxa"/>
            <w:shd w:val="clear" w:color="auto" w:fill="auto"/>
          </w:tcPr>
          <w:p w14:paraId="6BD80665"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MAIA</w:t>
            </w:r>
          </w:p>
        </w:tc>
        <w:tc>
          <w:tcPr>
            <w:tcW w:w="1417" w:type="dxa"/>
            <w:shd w:val="clear" w:color="auto" w:fill="auto"/>
            <w:vAlign w:val="bottom"/>
          </w:tcPr>
          <w:p w14:paraId="597A4F1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c>
          <w:tcPr>
            <w:tcW w:w="1165" w:type="dxa"/>
            <w:shd w:val="clear" w:color="auto" w:fill="auto"/>
          </w:tcPr>
          <w:p w14:paraId="4439360B"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MAIA</w:t>
            </w:r>
          </w:p>
        </w:tc>
        <w:tc>
          <w:tcPr>
            <w:tcW w:w="1387" w:type="dxa"/>
            <w:shd w:val="clear" w:color="auto" w:fill="auto"/>
            <w:vAlign w:val="bottom"/>
          </w:tcPr>
          <w:p w14:paraId="61DB142B"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r>
      <w:tr w:rsidR="00604442" w:rsidRPr="00483DC7" w14:paraId="551A1917" w14:textId="77777777" w:rsidTr="009A115C">
        <w:tc>
          <w:tcPr>
            <w:tcW w:w="567" w:type="dxa"/>
            <w:shd w:val="clear" w:color="auto" w:fill="auto"/>
          </w:tcPr>
          <w:p w14:paraId="4F149C0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276" w:type="dxa"/>
            <w:shd w:val="clear" w:color="auto" w:fill="auto"/>
            <w:vAlign w:val="center"/>
          </w:tcPr>
          <w:p w14:paraId="64B1969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OGPAE</w:t>
            </w:r>
          </w:p>
        </w:tc>
        <w:tc>
          <w:tcPr>
            <w:tcW w:w="1134" w:type="dxa"/>
            <w:shd w:val="clear" w:color="auto" w:fill="auto"/>
          </w:tcPr>
          <w:p w14:paraId="0BEC3DD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MF</w:t>
            </w:r>
          </w:p>
        </w:tc>
        <w:tc>
          <w:tcPr>
            <w:tcW w:w="1276" w:type="dxa"/>
            <w:shd w:val="clear" w:color="auto" w:fill="auto"/>
            <w:vAlign w:val="bottom"/>
          </w:tcPr>
          <w:p w14:paraId="010C0532"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MF</w:t>
            </w:r>
          </w:p>
        </w:tc>
        <w:tc>
          <w:tcPr>
            <w:tcW w:w="1134" w:type="dxa"/>
            <w:shd w:val="clear" w:color="auto" w:fill="auto"/>
          </w:tcPr>
          <w:p w14:paraId="452FFE38"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MF</w:t>
            </w:r>
          </w:p>
        </w:tc>
        <w:tc>
          <w:tcPr>
            <w:tcW w:w="1417" w:type="dxa"/>
            <w:shd w:val="clear" w:color="auto" w:fill="auto"/>
            <w:vAlign w:val="bottom"/>
          </w:tcPr>
          <w:p w14:paraId="5D3886E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MF</w:t>
            </w:r>
          </w:p>
        </w:tc>
        <w:tc>
          <w:tcPr>
            <w:tcW w:w="1165" w:type="dxa"/>
            <w:shd w:val="clear" w:color="auto" w:fill="auto"/>
          </w:tcPr>
          <w:p w14:paraId="5C9B578E"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MF</w:t>
            </w:r>
          </w:p>
        </w:tc>
        <w:tc>
          <w:tcPr>
            <w:tcW w:w="1387" w:type="dxa"/>
            <w:shd w:val="clear" w:color="auto" w:fill="auto"/>
            <w:vAlign w:val="bottom"/>
          </w:tcPr>
          <w:p w14:paraId="4E7AB90D"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MF</w:t>
            </w:r>
          </w:p>
        </w:tc>
      </w:tr>
      <w:tr w:rsidR="00604442" w:rsidRPr="00483DC7" w14:paraId="75876544" w14:textId="77777777" w:rsidTr="009A115C">
        <w:tc>
          <w:tcPr>
            <w:tcW w:w="567" w:type="dxa"/>
            <w:shd w:val="clear" w:color="auto" w:fill="auto"/>
          </w:tcPr>
          <w:p w14:paraId="65415A6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1276" w:type="dxa"/>
            <w:shd w:val="clear" w:color="auto" w:fill="auto"/>
            <w:vAlign w:val="center"/>
          </w:tcPr>
          <w:p w14:paraId="1734F89B"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ONIPM</w:t>
            </w:r>
          </w:p>
        </w:tc>
        <w:tc>
          <w:tcPr>
            <w:tcW w:w="1134" w:type="dxa"/>
            <w:shd w:val="clear" w:color="auto" w:fill="auto"/>
          </w:tcPr>
          <w:p w14:paraId="66322314"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2C78AF2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(MADRM)</w:t>
            </w:r>
          </w:p>
        </w:tc>
        <w:tc>
          <w:tcPr>
            <w:tcW w:w="1134" w:type="dxa"/>
            <w:shd w:val="clear" w:color="auto" w:fill="auto"/>
          </w:tcPr>
          <w:p w14:paraId="2CE337F1"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MM</w:t>
            </w:r>
          </w:p>
        </w:tc>
        <w:tc>
          <w:tcPr>
            <w:tcW w:w="1417" w:type="dxa"/>
            <w:shd w:val="clear" w:color="auto" w:fill="auto"/>
            <w:vAlign w:val="bottom"/>
          </w:tcPr>
          <w:p w14:paraId="23E5DFC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MM</w:t>
            </w:r>
          </w:p>
        </w:tc>
        <w:tc>
          <w:tcPr>
            <w:tcW w:w="1165" w:type="dxa"/>
            <w:shd w:val="clear" w:color="auto" w:fill="auto"/>
          </w:tcPr>
          <w:p w14:paraId="44C7D813"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MM</w:t>
            </w:r>
          </w:p>
        </w:tc>
        <w:tc>
          <w:tcPr>
            <w:tcW w:w="1387" w:type="dxa"/>
            <w:shd w:val="clear" w:color="auto" w:fill="auto"/>
            <w:vAlign w:val="bottom"/>
          </w:tcPr>
          <w:p w14:paraId="41B91C8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MM</w:t>
            </w:r>
          </w:p>
        </w:tc>
      </w:tr>
      <w:tr w:rsidR="00604442" w:rsidRPr="00483DC7" w14:paraId="0BB85057" w14:textId="77777777" w:rsidTr="009A115C">
        <w:tc>
          <w:tcPr>
            <w:tcW w:w="567" w:type="dxa"/>
            <w:shd w:val="clear" w:color="auto" w:fill="auto"/>
          </w:tcPr>
          <w:p w14:paraId="6644CAD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4</w:t>
            </w:r>
          </w:p>
        </w:tc>
        <w:tc>
          <w:tcPr>
            <w:tcW w:w="1276" w:type="dxa"/>
            <w:shd w:val="clear" w:color="auto" w:fill="auto"/>
            <w:vAlign w:val="center"/>
          </w:tcPr>
          <w:p w14:paraId="7825FADB"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ONDRL</w:t>
            </w:r>
          </w:p>
        </w:tc>
        <w:tc>
          <w:tcPr>
            <w:tcW w:w="1134" w:type="dxa"/>
            <w:shd w:val="clear" w:color="auto" w:fill="auto"/>
          </w:tcPr>
          <w:p w14:paraId="6415AD9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1276" w:type="dxa"/>
            <w:shd w:val="clear" w:color="auto" w:fill="auto"/>
            <w:vAlign w:val="bottom"/>
          </w:tcPr>
          <w:p w14:paraId="2EB0D0B9"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1134" w:type="dxa"/>
            <w:shd w:val="clear" w:color="auto" w:fill="auto"/>
          </w:tcPr>
          <w:p w14:paraId="50440766"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MIDR</w:t>
            </w:r>
            <w:r w:rsidRPr="00483DC7">
              <w:rPr>
                <w:rStyle w:val="FootnoteReference"/>
                <w:rFonts w:ascii="Times New Roman" w:hAnsi="Times New Roman" w:cs="Times New Roman"/>
                <w:color w:val="000000"/>
                <w:sz w:val="18"/>
                <w:szCs w:val="18"/>
                <w:lang w:val="ro-MD"/>
              </w:rPr>
              <w:footnoteReference w:id="25"/>
            </w:r>
          </w:p>
        </w:tc>
        <w:tc>
          <w:tcPr>
            <w:tcW w:w="1417" w:type="dxa"/>
            <w:shd w:val="clear" w:color="auto" w:fill="auto"/>
            <w:vAlign w:val="bottom"/>
          </w:tcPr>
          <w:p w14:paraId="5CDCA4C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c>
          <w:tcPr>
            <w:tcW w:w="1165" w:type="dxa"/>
            <w:shd w:val="clear" w:color="auto" w:fill="auto"/>
          </w:tcPr>
          <w:p w14:paraId="17A94BA5"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MIDR</w:t>
            </w:r>
          </w:p>
        </w:tc>
        <w:tc>
          <w:tcPr>
            <w:tcW w:w="1387" w:type="dxa"/>
            <w:shd w:val="clear" w:color="auto" w:fill="auto"/>
            <w:vAlign w:val="bottom"/>
          </w:tcPr>
          <w:p w14:paraId="54C7B00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r>
      <w:tr w:rsidR="00604442" w:rsidRPr="00483DC7" w14:paraId="64A79438" w14:textId="77777777" w:rsidTr="009A115C">
        <w:tc>
          <w:tcPr>
            <w:tcW w:w="567" w:type="dxa"/>
            <w:shd w:val="clear" w:color="auto" w:fill="auto"/>
          </w:tcPr>
          <w:p w14:paraId="38EEC6A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1276" w:type="dxa"/>
            <w:shd w:val="clear" w:color="auto" w:fill="auto"/>
            <w:vAlign w:val="center"/>
          </w:tcPr>
          <w:p w14:paraId="3B473B6C"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UCIMPA</w:t>
            </w:r>
          </w:p>
        </w:tc>
        <w:tc>
          <w:tcPr>
            <w:tcW w:w="1134" w:type="dxa"/>
            <w:shd w:val="clear" w:color="auto" w:fill="auto"/>
          </w:tcPr>
          <w:p w14:paraId="36BF80C4"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6BBBB392"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MADRM</w:t>
            </w:r>
          </w:p>
        </w:tc>
        <w:tc>
          <w:tcPr>
            <w:tcW w:w="1134" w:type="dxa"/>
            <w:shd w:val="clear" w:color="auto" w:fill="auto"/>
          </w:tcPr>
          <w:p w14:paraId="1AE4D61C"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417" w:type="dxa"/>
            <w:shd w:val="clear" w:color="auto" w:fill="auto"/>
            <w:vAlign w:val="bottom"/>
          </w:tcPr>
          <w:p w14:paraId="57F6C39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c>
          <w:tcPr>
            <w:tcW w:w="1165" w:type="dxa"/>
            <w:shd w:val="clear" w:color="auto" w:fill="auto"/>
          </w:tcPr>
          <w:p w14:paraId="30B971E3"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387" w:type="dxa"/>
            <w:shd w:val="clear" w:color="auto" w:fill="auto"/>
            <w:vAlign w:val="bottom"/>
          </w:tcPr>
          <w:p w14:paraId="5552CDA2"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r>
      <w:tr w:rsidR="00604442" w:rsidRPr="00483DC7" w14:paraId="692F7999" w14:textId="77777777" w:rsidTr="009A115C">
        <w:tc>
          <w:tcPr>
            <w:tcW w:w="567" w:type="dxa"/>
            <w:shd w:val="clear" w:color="auto" w:fill="auto"/>
          </w:tcPr>
          <w:p w14:paraId="0BEE166B"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6</w:t>
            </w:r>
          </w:p>
        </w:tc>
        <w:tc>
          <w:tcPr>
            <w:tcW w:w="1276" w:type="dxa"/>
            <w:shd w:val="clear" w:color="auto" w:fill="auto"/>
            <w:vAlign w:val="center"/>
          </w:tcPr>
          <w:p w14:paraId="47DEB3D4"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UCIMP DS</w:t>
            </w:r>
          </w:p>
        </w:tc>
        <w:tc>
          <w:tcPr>
            <w:tcW w:w="1134" w:type="dxa"/>
            <w:shd w:val="clear" w:color="auto" w:fill="auto"/>
          </w:tcPr>
          <w:p w14:paraId="45A5A54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1276" w:type="dxa"/>
            <w:shd w:val="clear" w:color="auto" w:fill="auto"/>
            <w:vAlign w:val="bottom"/>
          </w:tcPr>
          <w:p w14:paraId="7EC1954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MS</w:t>
            </w:r>
          </w:p>
        </w:tc>
        <w:tc>
          <w:tcPr>
            <w:tcW w:w="1134" w:type="dxa"/>
            <w:shd w:val="clear" w:color="auto" w:fill="auto"/>
          </w:tcPr>
          <w:p w14:paraId="638825B2"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MS</w:t>
            </w:r>
          </w:p>
        </w:tc>
        <w:tc>
          <w:tcPr>
            <w:tcW w:w="1417" w:type="dxa"/>
            <w:shd w:val="clear" w:color="auto" w:fill="auto"/>
            <w:vAlign w:val="bottom"/>
          </w:tcPr>
          <w:p w14:paraId="791B0F54"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MS</w:t>
            </w:r>
          </w:p>
        </w:tc>
        <w:tc>
          <w:tcPr>
            <w:tcW w:w="1165" w:type="dxa"/>
            <w:shd w:val="clear" w:color="auto" w:fill="auto"/>
          </w:tcPr>
          <w:p w14:paraId="1E27F869"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MS</w:t>
            </w:r>
          </w:p>
        </w:tc>
        <w:tc>
          <w:tcPr>
            <w:tcW w:w="1387" w:type="dxa"/>
            <w:shd w:val="clear" w:color="auto" w:fill="auto"/>
            <w:vAlign w:val="bottom"/>
          </w:tcPr>
          <w:p w14:paraId="7E71A76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MS</w:t>
            </w:r>
          </w:p>
        </w:tc>
      </w:tr>
      <w:tr w:rsidR="00604442" w:rsidRPr="00483DC7" w14:paraId="4A1FEE32" w14:textId="77777777" w:rsidTr="009A115C">
        <w:tc>
          <w:tcPr>
            <w:tcW w:w="567" w:type="dxa"/>
            <w:shd w:val="clear" w:color="auto" w:fill="auto"/>
          </w:tcPr>
          <w:p w14:paraId="5D58CD8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7</w:t>
            </w:r>
          </w:p>
        </w:tc>
        <w:tc>
          <w:tcPr>
            <w:tcW w:w="1276" w:type="dxa"/>
            <w:shd w:val="clear" w:color="auto" w:fill="auto"/>
            <w:vAlign w:val="center"/>
          </w:tcPr>
          <w:p w14:paraId="32D0AF6C"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UCIMPRSVV</w:t>
            </w:r>
          </w:p>
        </w:tc>
        <w:tc>
          <w:tcPr>
            <w:tcW w:w="1134" w:type="dxa"/>
            <w:shd w:val="clear" w:color="auto" w:fill="auto"/>
          </w:tcPr>
          <w:p w14:paraId="0AE688B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4918B7F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MADRM</w:t>
            </w:r>
          </w:p>
        </w:tc>
        <w:tc>
          <w:tcPr>
            <w:tcW w:w="1134" w:type="dxa"/>
            <w:shd w:val="clear" w:color="auto" w:fill="auto"/>
          </w:tcPr>
          <w:p w14:paraId="54556700"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417" w:type="dxa"/>
            <w:shd w:val="clear" w:color="auto" w:fill="auto"/>
            <w:vAlign w:val="bottom"/>
          </w:tcPr>
          <w:p w14:paraId="6B5D4BA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c>
          <w:tcPr>
            <w:tcW w:w="1165" w:type="dxa"/>
            <w:shd w:val="clear" w:color="auto" w:fill="auto"/>
          </w:tcPr>
          <w:p w14:paraId="752C5201"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387" w:type="dxa"/>
            <w:shd w:val="clear" w:color="auto" w:fill="auto"/>
            <w:vAlign w:val="bottom"/>
          </w:tcPr>
          <w:p w14:paraId="4052F8C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r>
      <w:tr w:rsidR="00604442" w:rsidRPr="00483DC7" w14:paraId="720B6433" w14:textId="77777777" w:rsidTr="009A115C">
        <w:tc>
          <w:tcPr>
            <w:tcW w:w="567" w:type="dxa"/>
            <w:shd w:val="clear" w:color="auto" w:fill="auto"/>
          </w:tcPr>
          <w:p w14:paraId="4601DB9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8</w:t>
            </w:r>
          </w:p>
        </w:tc>
        <w:tc>
          <w:tcPr>
            <w:tcW w:w="1276" w:type="dxa"/>
            <w:shd w:val="clear" w:color="auto" w:fill="auto"/>
            <w:vAlign w:val="center"/>
          </w:tcPr>
          <w:p w14:paraId="505116A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UCIPE</w:t>
            </w:r>
          </w:p>
        </w:tc>
        <w:tc>
          <w:tcPr>
            <w:tcW w:w="1134" w:type="dxa"/>
            <w:shd w:val="clear" w:color="auto" w:fill="auto"/>
          </w:tcPr>
          <w:p w14:paraId="51DDE6DE"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1276" w:type="dxa"/>
            <w:shd w:val="clear" w:color="auto" w:fill="auto"/>
            <w:vAlign w:val="bottom"/>
          </w:tcPr>
          <w:p w14:paraId="48EEBE52"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1134" w:type="dxa"/>
            <w:shd w:val="clear" w:color="auto" w:fill="auto"/>
          </w:tcPr>
          <w:p w14:paraId="0A082A4E"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w:t>
            </w:r>
          </w:p>
        </w:tc>
        <w:tc>
          <w:tcPr>
            <w:tcW w:w="1417" w:type="dxa"/>
            <w:shd w:val="clear" w:color="auto" w:fill="auto"/>
            <w:vAlign w:val="bottom"/>
          </w:tcPr>
          <w:p w14:paraId="764BB5FE"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c>
          <w:tcPr>
            <w:tcW w:w="1165" w:type="dxa"/>
            <w:shd w:val="clear" w:color="auto" w:fill="auto"/>
          </w:tcPr>
          <w:p w14:paraId="5191D24D"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w:t>
            </w:r>
          </w:p>
        </w:tc>
        <w:tc>
          <w:tcPr>
            <w:tcW w:w="1387" w:type="dxa"/>
            <w:shd w:val="clear" w:color="auto" w:fill="auto"/>
            <w:vAlign w:val="bottom"/>
          </w:tcPr>
          <w:p w14:paraId="623DA5B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ME</w:t>
            </w:r>
          </w:p>
        </w:tc>
      </w:tr>
      <w:tr w:rsidR="00604442" w:rsidRPr="00483DC7" w14:paraId="62BF4CFB" w14:textId="77777777" w:rsidTr="009A115C">
        <w:tc>
          <w:tcPr>
            <w:tcW w:w="567" w:type="dxa"/>
            <w:shd w:val="clear" w:color="auto" w:fill="auto"/>
          </w:tcPr>
          <w:p w14:paraId="3A0FE8F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9</w:t>
            </w:r>
          </w:p>
        </w:tc>
        <w:tc>
          <w:tcPr>
            <w:tcW w:w="1276" w:type="dxa"/>
            <w:shd w:val="clear" w:color="auto" w:fill="auto"/>
            <w:vAlign w:val="center"/>
          </w:tcPr>
          <w:p w14:paraId="0F6A4AD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UCIP IFAD</w:t>
            </w:r>
          </w:p>
        </w:tc>
        <w:tc>
          <w:tcPr>
            <w:tcW w:w="1134" w:type="dxa"/>
            <w:shd w:val="clear" w:color="auto" w:fill="auto"/>
          </w:tcPr>
          <w:p w14:paraId="7BC5E987"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729CCE8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MADRM</w:t>
            </w:r>
          </w:p>
        </w:tc>
        <w:tc>
          <w:tcPr>
            <w:tcW w:w="1134" w:type="dxa"/>
            <w:shd w:val="clear" w:color="auto" w:fill="auto"/>
          </w:tcPr>
          <w:p w14:paraId="04AD4129"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417" w:type="dxa"/>
            <w:shd w:val="clear" w:color="auto" w:fill="auto"/>
            <w:vAlign w:val="bottom"/>
          </w:tcPr>
          <w:p w14:paraId="05A96317"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c>
          <w:tcPr>
            <w:tcW w:w="1165" w:type="dxa"/>
            <w:shd w:val="clear" w:color="auto" w:fill="auto"/>
          </w:tcPr>
          <w:p w14:paraId="4E4B2EBD"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387" w:type="dxa"/>
            <w:shd w:val="clear" w:color="auto" w:fill="auto"/>
            <w:vAlign w:val="bottom"/>
          </w:tcPr>
          <w:p w14:paraId="354CEA25"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MAIA</w:t>
            </w:r>
          </w:p>
        </w:tc>
      </w:tr>
      <w:tr w:rsidR="00604442" w:rsidRPr="00483DC7" w14:paraId="17076ADF" w14:textId="77777777" w:rsidTr="009A115C">
        <w:tc>
          <w:tcPr>
            <w:tcW w:w="567" w:type="dxa"/>
            <w:shd w:val="clear" w:color="auto" w:fill="auto"/>
          </w:tcPr>
          <w:p w14:paraId="5FF9143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10</w:t>
            </w:r>
          </w:p>
        </w:tc>
        <w:tc>
          <w:tcPr>
            <w:tcW w:w="1276" w:type="dxa"/>
            <w:shd w:val="clear" w:color="auto" w:fill="auto"/>
            <w:vAlign w:val="center"/>
          </w:tcPr>
          <w:p w14:paraId="71899CC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UIPAC</w:t>
            </w:r>
          </w:p>
        </w:tc>
        <w:tc>
          <w:tcPr>
            <w:tcW w:w="1134" w:type="dxa"/>
            <w:shd w:val="clear" w:color="auto" w:fill="auto"/>
          </w:tcPr>
          <w:p w14:paraId="475088D6"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ME</w:t>
            </w:r>
          </w:p>
        </w:tc>
        <w:tc>
          <w:tcPr>
            <w:tcW w:w="1276" w:type="dxa"/>
            <w:shd w:val="clear" w:color="auto" w:fill="auto"/>
            <w:vAlign w:val="bottom"/>
          </w:tcPr>
          <w:p w14:paraId="779E4E09"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ME</w:t>
            </w:r>
          </w:p>
        </w:tc>
        <w:tc>
          <w:tcPr>
            <w:tcW w:w="1134" w:type="dxa"/>
            <w:shd w:val="clear" w:color="auto" w:fill="auto"/>
          </w:tcPr>
          <w:p w14:paraId="0F249660" w14:textId="77777777" w:rsidR="00192B68" w:rsidRPr="00483DC7" w:rsidRDefault="00604442"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w:t>
            </w:r>
          </w:p>
        </w:tc>
        <w:tc>
          <w:tcPr>
            <w:tcW w:w="1417" w:type="dxa"/>
            <w:shd w:val="clear" w:color="auto" w:fill="auto"/>
            <w:vAlign w:val="bottom"/>
          </w:tcPr>
          <w:p w14:paraId="09A991F5"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ME</w:t>
            </w:r>
          </w:p>
        </w:tc>
        <w:tc>
          <w:tcPr>
            <w:tcW w:w="1165" w:type="dxa"/>
            <w:shd w:val="clear" w:color="auto" w:fill="auto"/>
          </w:tcPr>
          <w:p w14:paraId="49511681" w14:textId="77777777" w:rsidR="00192B68" w:rsidRPr="00483DC7" w:rsidRDefault="00604442"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w:t>
            </w:r>
          </w:p>
        </w:tc>
        <w:tc>
          <w:tcPr>
            <w:tcW w:w="1387" w:type="dxa"/>
            <w:shd w:val="clear" w:color="auto" w:fill="auto"/>
            <w:vAlign w:val="bottom"/>
          </w:tcPr>
          <w:p w14:paraId="46D93D09"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MDED</w:t>
            </w:r>
          </w:p>
        </w:tc>
      </w:tr>
      <w:tr w:rsidR="00604442" w:rsidRPr="00483DC7" w14:paraId="72258AE8" w14:textId="77777777" w:rsidTr="009A115C">
        <w:tc>
          <w:tcPr>
            <w:tcW w:w="567" w:type="dxa"/>
            <w:shd w:val="clear" w:color="auto" w:fill="auto"/>
          </w:tcPr>
          <w:p w14:paraId="129BB65F"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11</w:t>
            </w:r>
          </w:p>
        </w:tc>
        <w:tc>
          <w:tcPr>
            <w:tcW w:w="1276" w:type="dxa"/>
            <w:shd w:val="clear" w:color="auto" w:fill="auto"/>
            <w:vAlign w:val="center"/>
          </w:tcPr>
          <w:p w14:paraId="7AB00751"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UIPCLPSV II</w:t>
            </w:r>
          </w:p>
        </w:tc>
        <w:tc>
          <w:tcPr>
            <w:tcW w:w="1134" w:type="dxa"/>
            <w:shd w:val="clear" w:color="auto" w:fill="auto"/>
          </w:tcPr>
          <w:p w14:paraId="4E15A017"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MADRM</w:t>
            </w:r>
          </w:p>
        </w:tc>
        <w:tc>
          <w:tcPr>
            <w:tcW w:w="1276" w:type="dxa"/>
            <w:shd w:val="clear" w:color="auto" w:fill="auto"/>
            <w:vAlign w:val="bottom"/>
          </w:tcPr>
          <w:p w14:paraId="2EAB815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c>
          <w:tcPr>
            <w:tcW w:w="1134" w:type="dxa"/>
            <w:shd w:val="clear" w:color="auto" w:fill="auto"/>
          </w:tcPr>
          <w:p w14:paraId="048D275F"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417" w:type="dxa"/>
            <w:shd w:val="clear" w:color="auto" w:fill="auto"/>
            <w:vAlign w:val="bottom"/>
          </w:tcPr>
          <w:p w14:paraId="362C0F4D"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c>
          <w:tcPr>
            <w:tcW w:w="1165" w:type="dxa"/>
            <w:shd w:val="clear" w:color="auto" w:fill="auto"/>
          </w:tcPr>
          <w:p w14:paraId="5353C1C2" w14:textId="77777777" w:rsidR="00192B68" w:rsidRPr="00483DC7" w:rsidRDefault="00192B68" w:rsidP="00EE670D">
            <w:pPr>
              <w:spacing w:line="276" w:lineRule="auto"/>
              <w:jc w:val="both"/>
              <w:rPr>
                <w:rFonts w:ascii="Times New Roman" w:hAnsi="Times New Roman" w:cs="Times New Roman"/>
                <w:color w:val="000000"/>
                <w:sz w:val="18"/>
                <w:szCs w:val="18"/>
                <w:lang w:val="ro-MD"/>
              </w:rPr>
            </w:pPr>
            <w:r w:rsidRPr="00483DC7">
              <w:rPr>
                <w:rFonts w:ascii="Times New Roman" w:hAnsi="Times New Roman" w:cs="Times New Roman"/>
                <w:color w:val="000000"/>
                <w:sz w:val="18"/>
                <w:szCs w:val="18"/>
                <w:lang w:val="ro-MD"/>
              </w:rPr>
              <w:t>MADRM</w:t>
            </w:r>
          </w:p>
        </w:tc>
        <w:tc>
          <w:tcPr>
            <w:tcW w:w="1387" w:type="dxa"/>
            <w:shd w:val="clear" w:color="auto" w:fill="auto"/>
            <w:vAlign w:val="bottom"/>
          </w:tcPr>
          <w:p w14:paraId="4F3CFF93"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MIDR</w:t>
            </w:r>
          </w:p>
        </w:tc>
      </w:tr>
      <w:tr w:rsidR="00604442" w:rsidRPr="00483DC7" w14:paraId="2539518E" w14:textId="77777777" w:rsidTr="009A115C">
        <w:tc>
          <w:tcPr>
            <w:tcW w:w="567" w:type="dxa"/>
            <w:shd w:val="clear" w:color="auto" w:fill="auto"/>
          </w:tcPr>
          <w:p w14:paraId="254EE4B0"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12</w:t>
            </w:r>
          </w:p>
        </w:tc>
        <w:tc>
          <w:tcPr>
            <w:tcW w:w="1276" w:type="dxa"/>
            <w:shd w:val="clear" w:color="auto" w:fill="auto"/>
            <w:vAlign w:val="center"/>
          </w:tcPr>
          <w:p w14:paraId="5EA7F7E5"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UIPCPC</w:t>
            </w:r>
          </w:p>
        </w:tc>
        <w:tc>
          <w:tcPr>
            <w:tcW w:w="1134" w:type="dxa"/>
            <w:shd w:val="clear" w:color="auto" w:fill="auto"/>
          </w:tcPr>
          <w:p w14:paraId="6CDE02BA"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MJ/ANP</w:t>
            </w:r>
          </w:p>
        </w:tc>
        <w:tc>
          <w:tcPr>
            <w:tcW w:w="1276" w:type="dxa"/>
            <w:shd w:val="clear" w:color="auto" w:fill="auto"/>
            <w:vAlign w:val="bottom"/>
          </w:tcPr>
          <w:p w14:paraId="1C1B810C"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(MJ/ANP)</w:t>
            </w:r>
          </w:p>
        </w:tc>
        <w:tc>
          <w:tcPr>
            <w:tcW w:w="1134" w:type="dxa"/>
            <w:shd w:val="clear" w:color="auto" w:fill="auto"/>
          </w:tcPr>
          <w:p w14:paraId="66327D5A"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MJ/ANP</w:t>
            </w:r>
          </w:p>
        </w:tc>
        <w:tc>
          <w:tcPr>
            <w:tcW w:w="1417" w:type="dxa"/>
            <w:shd w:val="clear" w:color="auto" w:fill="auto"/>
            <w:vAlign w:val="bottom"/>
          </w:tcPr>
          <w:p w14:paraId="39FFD74A"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MJ/ANP</w:t>
            </w:r>
          </w:p>
        </w:tc>
        <w:tc>
          <w:tcPr>
            <w:tcW w:w="1165" w:type="dxa"/>
            <w:shd w:val="clear" w:color="auto" w:fill="auto"/>
          </w:tcPr>
          <w:p w14:paraId="26F2F372" w14:textId="77777777" w:rsidR="00192B68" w:rsidRPr="00483DC7" w:rsidRDefault="00604442"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color w:val="000000"/>
                <w:sz w:val="18"/>
                <w:szCs w:val="18"/>
                <w:lang w:val="ro-MD"/>
              </w:rPr>
              <w:t>MJ/ANP</w:t>
            </w:r>
          </w:p>
        </w:tc>
        <w:tc>
          <w:tcPr>
            <w:tcW w:w="1387" w:type="dxa"/>
            <w:shd w:val="clear" w:color="auto" w:fill="auto"/>
          </w:tcPr>
          <w:p w14:paraId="517233C8" w14:textId="77777777" w:rsidR="00192B68" w:rsidRPr="00483DC7" w:rsidRDefault="00192B68" w:rsidP="00EE670D">
            <w:pPr>
              <w:spacing w:line="276" w:lineRule="auto"/>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MJ/ANP</w:t>
            </w:r>
          </w:p>
        </w:tc>
      </w:tr>
      <w:tr w:rsidR="00192B68" w:rsidRPr="00483DC7" w14:paraId="7E87BC2D" w14:textId="77777777" w:rsidTr="008453C7">
        <w:tc>
          <w:tcPr>
            <w:tcW w:w="9356" w:type="dxa"/>
            <w:gridSpan w:val="8"/>
            <w:tcBorders>
              <w:left w:val="single" w:sz="4" w:space="0" w:color="FFFFFF"/>
              <w:bottom w:val="single" w:sz="4" w:space="0" w:color="FFFFFF"/>
              <w:right w:val="single" w:sz="4" w:space="0" w:color="FFFFFF" w:themeColor="background1"/>
            </w:tcBorders>
          </w:tcPr>
          <w:p w14:paraId="22FA7C85" w14:textId="77777777" w:rsidR="00192B68" w:rsidRPr="00483DC7" w:rsidRDefault="00192B68" w:rsidP="00EE670D">
            <w:pPr>
              <w:spacing w:line="276" w:lineRule="auto"/>
              <w:jc w:val="center"/>
              <w:rPr>
                <w:rFonts w:ascii="Times New Roman" w:hAnsi="Times New Roman" w:cs="Times New Roman"/>
                <w:sz w:val="18"/>
                <w:szCs w:val="18"/>
                <w:lang w:val="ro-MD"/>
              </w:rPr>
            </w:pPr>
            <w:r w:rsidRPr="00483DC7">
              <w:rPr>
                <w:rFonts w:ascii="Times New Roman" w:hAnsi="Times New Roman" w:cs="Times New Roman"/>
                <w:b/>
                <w:i/>
                <w:color w:val="000000"/>
                <w:sz w:val="18"/>
                <w:szCs w:val="18"/>
                <w:lang w:val="ro-MD"/>
              </w:rPr>
              <w:t>Sursa</w:t>
            </w:r>
            <w:r w:rsidRPr="00483DC7">
              <w:rPr>
                <w:rFonts w:ascii="Times New Roman" w:hAnsi="Times New Roman" w:cs="Times New Roman"/>
                <w:i/>
                <w:color w:val="000000"/>
                <w:sz w:val="18"/>
                <w:szCs w:val="18"/>
                <w:lang w:val="ro-MD"/>
              </w:rPr>
              <w:t>: elaborat de echipa de audit în baza regulamentelor UIPFAE și ale ministerelor fondatoare</w:t>
            </w:r>
          </w:p>
        </w:tc>
      </w:tr>
    </w:tbl>
    <w:p w14:paraId="384AFD97" w14:textId="1F99A837" w:rsidR="00192B68" w:rsidRPr="00483DC7" w:rsidRDefault="00192B68" w:rsidP="00604442">
      <w:pPr>
        <w:spacing w:before="240"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Este de menționat faptul că transmiterea funcțiilor de fondator al UIPFAE către ministerele nou-create s-a efectuat</w:t>
      </w:r>
      <w:r w:rsidR="008E41EB">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w:t>
      </w:r>
      <w:r w:rsidR="00604442" w:rsidRPr="00483DC7">
        <w:rPr>
          <w:rFonts w:ascii="Times New Roman" w:hAnsi="Times New Roman" w:cs="Times New Roman"/>
          <w:sz w:val="24"/>
          <w:szCs w:val="24"/>
          <w:lang w:val="ro-MD"/>
        </w:rPr>
        <w:t>unele cazuri</w:t>
      </w:r>
      <w:r w:rsidRPr="00483DC7">
        <w:rPr>
          <w:rFonts w:ascii="Times New Roman" w:hAnsi="Times New Roman" w:cs="Times New Roman"/>
          <w:sz w:val="24"/>
          <w:szCs w:val="24"/>
          <w:lang w:val="ro-MD"/>
        </w:rPr>
        <w:t>, fără a fi modificate concomitent și prevederile HG cu privire la crearea UIPFAE respective</w:t>
      </w:r>
      <w:r w:rsidR="00604442" w:rsidRPr="00483DC7">
        <w:rPr>
          <w:rFonts w:ascii="Times New Roman" w:hAnsi="Times New Roman" w:cs="Times New Roman"/>
          <w:sz w:val="24"/>
          <w:szCs w:val="24"/>
          <w:lang w:val="ro-MD"/>
        </w:rPr>
        <w:t>. Spre exemplu,</w:t>
      </w:r>
      <w:r w:rsidRPr="00483DC7">
        <w:rPr>
          <w:rFonts w:ascii="Times New Roman" w:hAnsi="Times New Roman" w:cs="Times New Roman"/>
          <w:sz w:val="24"/>
          <w:szCs w:val="24"/>
          <w:lang w:val="ro-MD"/>
        </w:rPr>
        <w:t xml:space="preserve"> în Regulamentul UCIMP DS, aprobat prin HG nr.391/2000</w:t>
      </w:r>
      <w:r w:rsidRPr="00483DC7">
        <w:rPr>
          <w:rStyle w:val="FootnoteReference"/>
          <w:rFonts w:ascii="Times New Roman" w:hAnsi="Times New Roman" w:cs="Times New Roman"/>
          <w:sz w:val="24"/>
          <w:szCs w:val="24"/>
          <w:lang w:val="ro-MD"/>
        </w:rPr>
        <w:footnoteReference w:id="26"/>
      </w:r>
      <w:r w:rsidRPr="00483DC7">
        <w:rPr>
          <w:rFonts w:ascii="Times New Roman" w:hAnsi="Times New Roman" w:cs="Times New Roman"/>
          <w:sz w:val="24"/>
          <w:szCs w:val="24"/>
          <w:lang w:val="ro-MD"/>
        </w:rPr>
        <w:t>, precum și în Regulamentul UCIPE, aprobat prin HG nr.1276/2000</w:t>
      </w:r>
      <w:r w:rsidRPr="00483DC7">
        <w:rPr>
          <w:rStyle w:val="FootnoteReference"/>
          <w:rFonts w:ascii="Times New Roman" w:hAnsi="Times New Roman" w:cs="Times New Roman"/>
          <w:sz w:val="24"/>
          <w:szCs w:val="24"/>
          <w:lang w:val="ro-MD"/>
        </w:rPr>
        <w:footnoteReference w:id="27"/>
      </w:r>
      <w:r w:rsidRPr="00483DC7">
        <w:rPr>
          <w:rFonts w:ascii="Times New Roman" w:hAnsi="Times New Roman" w:cs="Times New Roman"/>
          <w:sz w:val="24"/>
          <w:szCs w:val="24"/>
          <w:lang w:val="ro-MD"/>
        </w:rPr>
        <w:t>, nu este prevăzut expres fondatorul instituțiilor publice nominalizate, deși acestea se regăsesc în listele entităților al căror fondator este MS</w:t>
      </w:r>
      <w:r w:rsidRPr="00483DC7">
        <w:rPr>
          <w:rStyle w:val="FootnoteReference"/>
          <w:rFonts w:ascii="Times New Roman" w:hAnsi="Times New Roman" w:cs="Times New Roman"/>
          <w:sz w:val="24"/>
          <w:szCs w:val="24"/>
          <w:lang w:val="ro-MD"/>
        </w:rPr>
        <w:footnoteReference w:id="28"/>
      </w:r>
      <w:r w:rsidRPr="00483DC7">
        <w:rPr>
          <w:rFonts w:ascii="Times New Roman" w:hAnsi="Times New Roman" w:cs="Times New Roman"/>
          <w:sz w:val="24"/>
          <w:szCs w:val="24"/>
          <w:lang w:val="ro-MD"/>
        </w:rPr>
        <w:t xml:space="preserve"> și</w:t>
      </w:r>
      <w:r w:rsidR="003C0F01">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respectiv</w:t>
      </w:r>
      <w:r w:rsidR="003C0F01">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ME</w:t>
      </w:r>
      <w:r w:rsidRPr="00483DC7">
        <w:rPr>
          <w:rStyle w:val="FootnoteReference"/>
          <w:rFonts w:ascii="Times New Roman" w:hAnsi="Times New Roman" w:cs="Times New Roman"/>
          <w:sz w:val="24"/>
          <w:szCs w:val="24"/>
          <w:lang w:val="ro-MD"/>
        </w:rPr>
        <w:footnoteReference w:id="29"/>
      </w:r>
      <w:r w:rsidRPr="00483DC7">
        <w:rPr>
          <w:rFonts w:ascii="Times New Roman" w:hAnsi="Times New Roman" w:cs="Times New Roman"/>
          <w:sz w:val="24"/>
          <w:szCs w:val="24"/>
          <w:lang w:val="ro-MD"/>
        </w:rPr>
        <w:t>. O situație similară a fost constatată și în cazul UIPCP</w:t>
      </w:r>
      <w:r w:rsidR="00A06B61" w:rsidRPr="00483DC7">
        <w:rPr>
          <w:rFonts w:ascii="Times New Roman" w:hAnsi="Times New Roman" w:cs="Times New Roman"/>
          <w:sz w:val="24"/>
          <w:szCs w:val="24"/>
          <w:lang w:val="ro-MD"/>
        </w:rPr>
        <w:t>C</w:t>
      </w:r>
      <w:r w:rsidRPr="00483DC7">
        <w:rPr>
          <w:rFonts w:ascii="Times New Roman" w:hAnsi="Times New Roman" w:cs="Times New Roman"/>
          <w:sz w:val="24"/>
          <w:szCs w:val="24"/>
          <w:lang w:val="ro-MD"/>
        </w:rPr>
        <w:t>, care deși are statut de instituție publică din sfera de competență a Administrației Instituțiilor Penitenciare al MJ</w:t>
      </w:r>
      <w:r w:rsidRPr="00483DC7">
        <w:rPr>
          <w:rStyle w:val="FootnoteReference"/>
          <w:rFonts w:ascii="Times New Roman" w:hAnsi="Times New Roman" w:cs="Times New Roman"/>
          <w:sz w:val="24"/>
          <w:szCs w:val="24"/>
          <w:lang w:val="ro-MD"/>
        </w:rPr>
        <w:footnoteReference w:id="30"/>
      </w:r>
      <w:r w:rsidRPr="00483DC7">
        <w:rPr>
          <w:rFonts w:ascii="Times New Roman" w:hAnsi="Times New Roman" w:cs="Times New Roman"/>
          <w:sz w:val="24"/>
          <w:szCs w:val="24"/>
          <w:lang w:val="ro-MD"/>
        </w:rPr>
        <w:t xml:space="preserve">, nu se regăsește </w:t>
      </w:r>
      <w:r w:rsidR="008E41EB">
        <w:rPr>
          <w:rFonts w:ascii="Times New Roman" w:hAnsi="Times New Roman" w:cs="Times New Roman"/>
          <w:sz w:val="24"/>
          <w:szCs w:val="24"/>
          <w:lang w:val="ro-MD"/>
        </w:rPr>
        <w:t>nici</w:t>
      </w:r>
      <w:r w:rsidRPr="00483DC7">
        <w:rPr>
          <w:rFonts w:ascii="Times New Roman" w:hAnsi="Times New Roman" w:cs="Times New Roman"/>
          <w:sz w:val="24"/>
          <w:szCs w:val="24"/>
          <w:lang w:val="ro-MD"/>
        </w:rPr>
        <w:t xml:space="preserve"> în lista entităților al căror fondator este MJ</w:t>
      </w:r>
      <w:r w:rsidRPr="00483DC7">
        <w:rPr>
          <w:rStyle w:val="FootnoteReference"/>
          <w:rFonts w:ascii="Times New Roman" w:hAnsi="Times New Roman" w:cs="Times New Roman"/>
          <w:sz w:val="24"/>
          <w:szCs w:val="24"/>
          <w:lang w:val="ro-MD"/>
        </w:rPr>
        <w:footnoteReference w:id="31"/>
      </w:r>
      <w:r w:rsidRPr="00483DC7">
        <w:rPr>
          <w:rFonts w:ascii="Times New Roman" w:hAnsi="Times New Roman" w:cs="Times New Roman"/>
          <w:sz w:val="24"/>
          <w:szCs w:val="24"/>
          <w:lang w:val="ro-MD"/>
        </w:rPr>
        <w:t xml:space="preserve"> și</w:t>
      </w:r>
      <w:r w:rsidR="008E41EB">
        <w:rPr>
          <w:rFonts w:ascii="Times New Roman" w:hAnsi="Times New Roman" w:cs="Times New Roman"/>
          <w:sz w:val="24"/>
          <w:szCs w:val="24"/>
          <w:lang w:val="ro-MD"/>
        </w:rPr>
        <w:t xml:space="preserve"> nici</w:t>
      </w:r>
      <w:r w:rsidRPr="00483DC7">
        <w:rPr>
          <w:rFonts w:ascii="Times New Roman" w:hAnsi="Times New Roman" w:cs="Times New Roman"/>
          <w:sz w:val="24"/>
          <w:szCs w:val="24"/>
          <w:lang w:val="ro-MD"/>
        </w:rPr>
        <w:t xml:space="preserve"> în lista entităților subordonate ANP</w:t>
      </w:r>
      <w:r w:rsidRPr="00483DC7">
        <w:rPr>
          <w:rStyle w:val="FootnoteReference"/>
          <w:rFonts w:ascii="Times New Roman" w:hAnsi="Times New Roman" w:cs="Times New Roman"/>
          <w:sz w:val="24"/>
          <w:szCs w:val="24"/>
          <w:lang w:val="ro-MD"/>
        </w:rPr>
        <w:footnoteReference w:id="32"/>
      </w:r>
      <w:r w:rsidRPr="00483DC7">
        <w:rPr>
          <w:rFonts w:ascii="Times New Roman" w:hAnsi="Times New Roman" w:cs="Times New Roman"/>
          <w:sz w:val="24"/>
          <w:szCs w:val="24"/>
          <w:lang w:val="ro-MD"/>
        </w:rPr>
        <w:t>.</w:t>
      </w:r>
    </w:p>
    <w:p w14:paraId="2FEF4B6B" w14:textId="3734E481" w:rsidR="00604442" w:rsidRPr="00483DC7" w:rsidRDefault="0080254C" w:rsidP="0080254C">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opinia echipei de audit, neajustarea prevederilor actelor normative în vigoare la modificările aferente reformelor guvernamentale, generează riscul cu privire la</w:t>
      </w:r>
      <w:r w:rsidR="008F19EB" w:rsidRPr="00483DC7">
        <w:rPr>
          <w:rFonts w:ascii="Times New Roman" w:hAnsi="Times New Roman" w:cs="Times New Roman"/>
          <w:sz w:val="24"/>
          <w:szCs w:val="24"/>
          <w:lang w:val="ro-MD"/>
        </w:rPr>
        <w:t xml:space="preserve"> nerespectarea ierarhiei în </w:t>
      </w:r>
      <w:r w:rsidRPr="00483DC7">
        <w:rPr>
          <w:rFonts w:ascii="Times New Roman" w:hAnsi="Times New Roman" w:cs="Times New Roman"/>
          <w:sz w:val="24"/>
          <w:szCs w:val="24"/>
          <w:lang w:val="ro-MD"/>
        </w:rPr>
        <w:t>relațiil</w:t>
      </w:r>
      <w:r w:rsidR="008F19EB" w:rsidRPr="00483DC7">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dintre UIPFAE și fondatorii acestora</w:t>
      </w:r>
      <w:r w:rsidR="003F46F4">
        <w:rPr>
          <w:rFonts w:ascii="Times New Roman" w:hAnsi="Times New Roman" w:cs="Times New Roman"/>
          <w:sz w:val="24"/>
          <w:szCs w:val="24"/>
          <w:lang w:val="ro-MD"/>
        </w:rPr>
        <w:t>,</w:t>
      </w:r>
      <w:r w:rsidR="008F19EB" w:rsidRPr="00483DC7">
        <w:rPr>
          <w:rFonts w:ascii="Times New Roman" w:hAnsi="Times New Roman" w:cs="Times New Roman"/>
          <w:sz w:val="24"/>
          <w:szCs w:val="24"/>
          <w:lang w:val="ro-MD"/>
        </w:rPr>
        <w:t xml:space="preserve"> precum și la dublarea liniilor de raportare</w:t>
      </w:r>
      <w:r w:rsidRPr="00483DC7">
        <w:rPr>
          <w:rFonts w:ascii="Times New Roman" w:hAnsi="Times New Roman" w:cs="Times New Roman"/>
          <w:sz w:val="24"/>
          <w:szCs w:val="24"/>
          <w:lang w:val="ro-MD"/>
        </w:rPr>
        <w:t>, cu impact negativ asupra performanței activității operaționale a UIPFAE.</w:t>
      </w:r>
    </w:p>
    <w:p w14:paraId="0A2D1F3E" w14:textId="736585BF" w:rsidR="00EE670D" w:rsidRPr="00483DC7" w:rsidRDefault="00192B68" w:rsidP="00192B68">
      <w:pPr>
        <w:spacing w:before="240" w:after="0" w:line="276" w:lineRule="auto"/>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4.1.1.3. Mandatul organelor colegiale de supraveghere</w:t>
      </w:r>
      <w:r w:rsidR="00BF5BA6" w:rsidRPr="00483DC7">
        <w:rPr>
          <w:rFonts w:ascii="Times New Roman" w:hAnsi="Times New Roman" w:cs="Times New Roman"/>
          <w:b/>
          <w:sz w:val="24"/>
          <w:szCs w:val="24"/>
          <w:lang w:val="ro-MD"/>
        </w:rPr>
        <w:t>, în unele cazuri,</w:t>
      </w:r>
      <w:r w:rsidRPr="00483DC7">
        <w:rPr>
          <w:rFonts w:ascii="Times New Roman" w:hAnsi="Times New Roman" w:cs="Times New Roman"/>
          <w:b/>
          <w:sz w:val="24"/>
          <w:szCs w:val="24"/>
          <w:lang w:val="ro-MD"/>
        </w:rPr>
        <w:t xml:space="preserve"> nu este suficient și adecvat pentru asigurarea transparenței decizionale și eficienței în funcționarea UIPFAE.</w:t>
      </w:r>
    </w:p>
    <w:p w14:paraId="00143910" w14:textId="20771573" w:rsidR="00AF00E5" w:rsidRPr="00483DC7" w:rsidRDefault="00EE670D" w:rsidP="00AF00E5">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Monitorizarea activității UIPFAE </w:t>
      </w:r>
      <w:r w:rsidR="003F46F4">
        <w:rPr>
          <w:rFonts w:ascii="Times New Roman" w:hAnsi="Times New Roman" w:cs="Times New Roman"/>
          <w:color w:val="000000" w:themeColor="text1"/>
          <w:sz w:val="24"/>
          <w:szCs w:val="24"/>
          <w:lang w:val="ro-MD"/>
        </w:rPr>
        <w:t>este</w:t>
      </w:r>
      <w:r w:rsidRPr="00483DC7">
        <w:rPr>
          <w:rFonts w:ascii="Times New Roman" w:hAnsi="Times New Roman" w:cs="Times New Roman"/>
          <w:color w:val="000000" w:themeColor="text1"/>
          <w:sz w:val="24"/>
          <w:szCs w:val="24"/>
          <w:lang w:val="ro-MD"/>
        </w:rPr>
        <w:t xml:space="preserve"> esențial</w:t>
      </w:r>
      <w:r w:rsidR="003F46F4">
        <w:rPr>
          <w:rFonts w:ascii="Times New Roman" w:hAnsi="Times New Roman" w:cs="Times New Roman"/>
          <w:color w:val="000000" w:themeColor="text1"/>
          <w:sz w:val="24"/>
          <w:szCs w:val="24"/>
          <w:lang w:val="ro-MD"/>
        </w:rPr>
        <w:t>ă</w:t>
      </w:r>
      <w:r w:rsidRPr="00483DC7">
        <w:rPr>
          <w:rFonts w:ascii="Times New Roman" w:hAnsi="Times New Roman" w:cs="Times New Roman"/>
          <w:color w:val="000000" w:themeColor="text1"/>
          <w:sz w:val="24"/>
          <w:szCs w:val="24"/>
          <w:lang w:val="ro-MD"/>
        </w:rPr>
        <w:t xml:space="preserve"> pentru asigurarea transparenței decizionale, legalității și eficienței procesului de management al acestor instituții publice. </w:t>
      </w:r>
    </w:p>
    <w:p w14:paraId="22DDBC62" w14:textId="2A873BA7" w:rsidR="00EE670D" w:rsidRPr="00483DC7" w:rsidRDefault="00EE670D" w:rsidP="00AF00E5">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O bună guvernanță a procesului de monitorizare implică repartizare</w:t>
      </w:r>
      <w:r w:rsidR="003C0F01">
        <w:rPr>
          <w:rFonts w:ascii="Times New Roman" w:hAnsi="Times New Roman" w:cs="Times New Roman"/>
          <w:color w:val="000000" w:themeColor="text1"/>
          <w:sz w:val="24"/>
          <w:szCs w:val="24"/>
          <w:lang w:val="ro-MD"/>
        </w:rPr>
        <w:t>a</w:t>
      </w:r>
      <w:r w:rsidRPr="00483DC7">
        <w:rPr>
          <w:rFonts w:ascii="Times New Roman" w:hAnsi="Times New Roman" w:cs="Times New Roman"/>
          <w:color w:val="000000" w:themeColor="text1"/>
          <w:sz w:val="24"/>
          <w:szCs w:val="24"/>
          <w:lang w:val="ro-MD"/>
        </w:rPr>
        <w:t xml:space="preserve"> clară a rolurilor și a responsabilităților membrilor echipelor de supraveghere</w:t>
      </w:r>
      <w:r w:rsidR="003F46F4">
        <w:rPr>
          <w:rFonts w:ascii="Times New Roman" w:hAnsi="Times New Roman" w:cs="Times New Roman"/>
          <w:color w:val="000000" w:themeColor="text1"/>
          <w:sz w:val="24"/>
          <w:szCs w:val="24"/>
          <w:lang w:val="ro-MD"/>
        </w:rPr>
        <w:t>,</w:t>
      </w:r>
      <w:r w:rsidRPr="00483DC7">
        <w:rPr>
          <w:rFonts w:ascii="Times New Roman" w:hAnsi="Times New Roman" w:cs="Times New Roman"/>
          <w:color w:val="000000" w:themeColor="text1"/>
          <w:sz w:val="24"/>
          <w:szCs w:val="24"/>
          <w:lang w:val="ro-MD"/>
        </w:rPr>
        <w:t xml:space="preserve"> precum și independenț</w:t>
      </w:r>
      <w:r w:rsidR="003C0F01">
        <w:rPr>
          <w:rFonts w:ascii="Times New Roman" w:hAnsi="Times New Roman" w:cs="Times New Roman"/>
          <w:color w:val="000000" w:themeColor="text1"/>
          <w:sz w:val="24"/>
          <w:szCs w:val="24"/>
          <w:lang w:val="ro-MD"/>
        </w:rPr>
        <w:t>a</w:t>
      </w:r>
      <w:r w:rsidRPr="00483DC7">
        <w:rPr>
          <w:rFonts w:ascii="Times New Roman" w:hAnsi="Times New Roman" w:cs="Times New Roman"/>
          <w:color w:val="000000" w:themeColor="text1"/>
          <w:sz w:val="24"/>
          <w:szCs w:val="24"/>
          <w:lang w:val="ro-MD"/>
        </w:rPr>
        <w:t xml:space="preserve"> operațională adecvată pentru echipele de supraveghere în exercitarea sarcinilor și atribuțiilor delegate.   </w:t>
      </w:r>
    </w:p>
    <w:p w14:paraId="2F90BD77" w14:textId="3D59D549" w:rsidR="0080254C" w:rsidRPr="00483DC7" w:rsidRDefault="00EE670D" w:rsidP="00B43BD4">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lastRenderedPageBreak/>
        <w:t xml:space="preserve">Analizând </w:t>
      </w:r>
      <w:r w:rsidR="003F46F4">
        <w:rPr>
          <w:rFonts w:ascii="Times New Roman" w:hAnsi="Times New Roman" w:cs="Times New Roman"/>
          <w:color w:val="000000" w:themeColor="text1"/>
          <w:sz w:val="24"/>
          <w:szCs w:val="24"/>
          <w:lang w:val="ro-MD"/>
        </w:rPr>
        <w:t>r</w:t>
      </w:r>
      <w:r w:rsidRPr="00483DC7">
        <w:rPr>
          <w:rFonts w:ascii="Times New Roman" w:hAnsi="Times New Roman" w:cs="Times New Roman"/>
          <w:color w:val="000000" w:themeColor="text1"/>
          <w:sz w:val="24"/>
          <w:szCs w:val="24"/>
          <w:lang w:val="ro-MD"/>
        </w:rPr>
        <w:t>egulamentele de funcționare ale UIPFAE, auditul a stabilit că, în 11 cazuri din cele 12 analizate (cu excepția ONDRL), funcția de monitorizare și evaluare a activității UIPFAE este exercitată de către organele colegiale de supraveghere</w:t>
      </w:r>
      <w:r w:rsidRPr="00483DC7">
        <w:rPr>
          <w:rStyle w:val="FootnoteReference"/>
          <w:rFonts w:ascii="Times New Roman" w:hAnsi="Times New Roman" w:cs="Times New Roman"/>
          <w:color w:val="000000" w:themeColor="text1"/>
          <w:sz w:val="24"/>
          <w:szCs w:val="24"/>
          <w:lang w:val="ro-MD"/>
        </w:rPr>
        <w:footnoteReference w:id="33"/>
      </w:r>
      <w:r w:rsidRPr="00483DC7">
        <w:rPr>
          <w:rFonts w:ascii="Times New Roman" w:hAnsi="Times New Roman" w:cs="Times New Roman"/>
          <w:color w:val="000000" w:themeColor="text1"/>
          <w:sz w:val="24"/>
          <w:szCs w:val="24"/>
          <w:lang w:val="ro-MD"/>
        </w:rPr>
        <w:t>, a căror</w:t>
      </w:r>
      <w:r w:rsidR="003C0F01">
        <w:rPr>
          <w:rFonts w:ascii="Times New Roman" w:hAnsi="Times New Roman" w:cs="Times New Roman"/>
          <w:color w:val="000000" w:themeColor="text1"/>
          <w:sz w:val="24"/>
          <w:szCs w:val="24"/>
          <w:lang w:val="ro-MD"/>
        </w:rPr>
        <w:t xml:space="preserve"> componență numerică</w:t>
      </w:r>
      <w:r w:rsidRPr="00483DC7">
        <w:rPr>
          <w:rFonts w:ascii="Times New Roman" w:hAnsi="Times New Roman" w:cs="Times New Roman"/>
          <w:color w:val="000000" w:themeColor="text1"/>
          <w:sz w:val="24"/>
          <w:szCs w:val="24"/>
          <w:lang w:val="ro-MD"/>
        </w:rPr>
        <w:t xml:space="preserve"> variază de la 3 până la 9 membri, iar componența nominală este aprobată de către Guvern</w:t>
      </w:r>
      <w:r w:rsidRPr="00483DC7">
        <w:rPr>
          <w:rStyle w:val="FootnoteReference"/>
          <w:rFonts w:ascii="Times New Roman" w:hAnsi="Times New Roman" w:cs="Times New Roman"/>
          <w:color w:val="000000" w:themeColor="text1"/>
          <w:sz w:val="24"/>
          <w:szCs w:val="24"/>
          <w:lang w:val="ro-MD"/>
        </w:rPr>
        <w:footnoteReference w:id="34"/>
      </w:r>
      <w:r w:rsidRPr="00483DC7">
        <w:rPr>
          <w:rFonts w:ascii="Times New Roman" w:hAnsi="Times New Roman" w:cs="Times New Roman"/>
          <w:color w:val="000000" w:themeColor="text1"/>
          <w:sz w:val="24"/>
          <w:szCs w:val="24"/>
          <w:lang w:val="ro-MD"/>
        </w:rPr>
        <w:t xml:space="preserve"> sau de către fondatorul UIPFAE. </w:t>
      </w:r>
      <w:r w:rsidR="002352A6" w:rsidRPr="00483DC7">
        <w:rPr>
          <w:rFonts w:ascii="Times New Roman" w:hAnsi="Times New Roman" w:cs="Times New Roman"/>
          <w:color w:val="000000" w:themeColor="text1"/>
          <w:sz w:val="24"/>
          <w:szCs w:val="24"/>
          <w:lang w:val="ro-MD"/>
        </w:rPr>
        <w:t>În cazul ONDRL, funcț</w:t>
      </w:r>
      <w:r w:rsidR="003C0F01">
        <w:rPr>
          <w:rFonts w:ascii="Times New Roman" w:hAnsi="Times New Roman" w:cs="Times New Roman"/>
          <w:color w:val="000000" w:themeColor="text1"/>
          <w:sz w:val="24"/>
          <w:szCs w:val="24"/>
          <w:lang w:val="ro-MD"/>
        </w:rPr>
        <w:t>ia de monitorizare și evaluare</w:t>
      </w:r>
      <w:r w:rsidR="002352A6" w:rsidRPr="00483DC7">
        <w:rPr>
          <w:rFonts w:ascii="Times New Roman" w:hAnsi="Times New Roman" w:cs="Times New Roman"/>
          <w:color w:val="000000" w:themeColor="text1"/>
          <w:sz w:val="24"/>
          <w:szCs w:val="24"/>
          <w:lang w:val="ro-MD"/>
        </w:rPr>
        <w:t xml:space="preserve"> a activității UIPFAE este exercitată de către </w:t>
      </w:r>
      <w:r w:rsidR="00F73BE8" w:rsidRPr="00483DC7">
        <w:rPr>
          <w:rFonts w:ascii="Times New Roman" w:hAnsi="Times New Roman" w:cs="Times New Roman"/>
          <w:color w:val="000000" w:themeColor="text1"/>
          <w:sz w:val="24"/>
          <w:szCs w:val="24"/>
          <w:lang w:val="ro-MD"/>
        </w:rPr>
        <w:t>MIDR.</w:t>
      </w:r>
      <w:r w:rsidR="002352A6" w:rsidRPr="00483DC7">
        <w:rPr>
          <w:rFonts w:ascii="Times New Roman" w:hAnsi="Times New Roman" w:cs="Times New Roman"/>
          <w:color w:val="000000" w:themeColor="text1"/>
          <w:sz w:val="24"/>
          <w:szCs w:val="24"/>
          <w:lang w:val="ro-MD"/>
        </w:rPr>
        <w:t xml:space="preserve"> </w:t>
      </w:r>
      <w:r w:rsidR="00F73BE8" w:rsidRPr="00483DC7">
        <w:rPr>
          <w:rFonts w:ascii="Times New Roman" w:hAnsi="Times New Roman" w:cs="Times New Roman"/>
          <w:color w:val="000000" w:themeColor="text1"/>
          <w:sz w:val="24"/>
          <w:szCs w:val="24"/>
          <w:lang w:val="ro-MD"/>
        </w:rPr>
        <w:t>S</w:t>
      </w:r>
      <w:r w:rsidR="002352A6" w:rsidRPr="00483DC7">
        <w:rPr>
          <w:rFonts w:ascii="Times New Roman" w:hAnsi="Times New Roman" w:cs="Times New Roman"/>
          <w:color w:val="000000" w:themeColor="text1"/>
          <w:sz w:val="24"/>
          <w:szCs w:val="24"/>
          <w:lang w:val="ro-MD"/>
        </w:rPr>
        <w:t xml:space="preserve">uplimentar, în temeiul Ordinului MIDR nr.218 din 14.12.2022 </w:t>
      </w:r>
      <w:r w:rsidR="00F73BE8" w:rsidRPr="00483DC7">
        <w:rPr>
          <w:rFonts w:ascii="Times New Roman" w:hAnsi="Times New Roman" w:cs="Times New Roman"/>
          <w:color w:val="000000" w:themeColor="text1"/>
          <w:sz w:val="24"/>
          <w:szCs w:val="24"/>
          <w:lang w:val="ro-MD"/>
        </w:rPr>
        <w:t>a fost</w:t>
      </w:r>
      <w:r w:rsidR="002352A6" w:rsidRPr="00483DC7">
        <w:rPr>
          <w:rFonts w:ascii="Times New Roman" w:hAnsi="Times New Roman" w:cs="Times New Roman"/>
          <w:color w:val="000000" w:themeColor="text1"/>
          <w:sz w:val="24"/>
          <w:szCs w:val="24"/>
          <w:lang w:val="ro-MD"/>
        </w:rPr>
        <w:t xml:space="preserve"> creat un </w:t>
      </w:r>
      <w:r w:rsidR="00FA2137" w:rsidRPr="00483DC7">
        <w:rPr>
          <w:rFonts w:ascii="Times New Roman" w:hAnsi="Times New Roman" w:cs="Times New Roman"/>
          <w:color w:val="000000" w:themeColor="text1"/>
          <w:sz w:val="24"/>
          <w:szCs w:val="24"/>
          <w:lang w:val="ro-MD"/>
        </w:rPr>
        <w:t>OCS</w:t>
      </w:r>
      <w:r w:rsidR="002352A6" w:rsidRPr="00483DC7">
        <w:rPr>
          <w:rFonts w:ascii="Times New Roman" w:hAnsi="Times New Roman" w:cs="Times New Roman"/>
          <w:color w:val="000000" w:themeColor="text1"/>
          <w:sz w:val="24"/>
          <w:szCs w:val="24"/>
          <w:lang w:val="ro-MD"/>
        </w:rPr>
        <w:t xml:space="preserve"> pentru imple</w:t>
      </w:r>
      <w:r w:rsidR="00F73BE8" w:rsidRPr="00483DC7">
        <w:rPr>
          <w:rFonts w:ascii="Times New Roman" w:hAnsi="Times New Roman" w:cs="Times New Roman"/>
          <w:color w:val="000000" w:themeColor="text1"/>
          <w:sz w:val="24"/>
          <w:szCs w:val="24"/>
          <w:lang w:val="ro-MD"/>
        </w:rPr>
        <w:t>mentarea proiectului „Securitatea aprovizionării cu apă și canalizare în Moldova</w:t>
      </w:r>
      <w:r w:rsidR="00E14E08" w:rsidRPr="00483DC7">
        <w:rPr>
          <w:rFonts w:ascii="Times New Roman" w:hAnsi="Times New Roman" w:cs="Times New Roman"/>
          <w:color w:val="000000" w:themeColor="text1"/>
          <w:sz w:val="24"/>
          <w:szCs w:val="24"/>
          <w:lang w:val="ro-MD"/>
        </w:rPr>
        <w:t xml:space="preserve">”, ceea ce confirmă încă odată în plus necesitatea creării </w:t>
      </w:r>
      <w:r w:rsidR="00FA2137" w:rsidRPr="00483DC7">
        <w:rPr>
          <w:rFonts w:ascii="Times New Roman" w:hAnsi="Times New Roman" w:cs="Times New Roman"/>
          <w:color w:val="000000" w:themeColor="text1"/>
          <w:sz w:val="24"/>
          <w:szCs w:val="24"/>
          <w:lang w:val="ro-MD"/>
        </w:rPr>
        <w:t>unui OCS</w:t>
      </w:r>
      <w:r w:rsidR="00E14E08" w:rsidRPr="00483DC7">
        <w:rPr>
          <w:rFonts w:ascii="Times New Roman" w:hAnsi="Times New Roman" w:cs="Times New Roman"/>
          <w:color w:val="000000" w:themeColor="text1"/>
          <w:sz w:val="24"/>
          <w:szCs w:val="24"/>
          <w:lang w:val="ro-MD"/>
        </w:rPr>
        <w:t xml:space="preserve"> care </w:t>
      </w:r>
      <w:r w:rsidR="00FA2137" w:rsidRPr="00483DC7">
        <w:rPr>
          <w:rFonts w:ascii="Times New Roman" w:hAnsi="Times New Roman" w:cs="Times New Roman"/>
          <w:color w:val="000000" w:themeColor="text1"/>
          <w:sz w:val="24"/>
          <w:szCs w:val="24"/>
          <w:lang w:val="ro-MD"/>
        </w:rPr>
        <w:t xml:space="preserve">va </w:t>
      </w:r>
      <w:r w:rsidR="00E14E08" w:rsidRPr="00483DC7">
        <w:rPr>
          <w:rFonts w:ascii="Times New Roman" w:hAnsi="Times New Roman" w:cs="Times New Roman"/>
          <w:color w:val="000000" w:themeColor="text1"/>
          <w:sz w:val="24"/>
          <w:szCs w:val="24"/>
          <w:lang w:val="ro-MD"/>
        </w:rPr>
        <w:t>supraveghea și</w:t>
      </w:r>
      <w:r w:rsidR="003C0F01">
        <w:rPr>
          <w:rFonts w:ascii="Times New Roman" w:hAnsi="Times New Roman" w:cs="Times New Roman"/>
          <w:color w:val="000000" w:themeColor="text1"/>
          <w:sz w:val="24"/>
          <w:szCs w:val="24"/>
          <w:lang w:val="ro-MD"/>
        </w:rPr>
        <w:t xml:space="preserve"> va</w:t>
      </w:r>
      <w:r w:rsidR="00E14E08" w:rsidRPr="00483DC7">
        <w:rPr>
          <w:rFonts w:ascii="Times New Roman" w:hAnsi="Times New Roman" w:cs="Times New Roman"/>
          <w:color w:val="000000" w:themeColor="text1"/>
          <w:sz w:val="24"/>
          <w:szCs w:val="24"/>
          <w:lang w:val="ro-MD"/>
        </w:rPr>
        <w:t xml:space="preserve"> monitoriza toate activitățile și programele gestionate de către ONDRL. </w:t>
      </w:r>
    </w:p>
    <w:p w14:paraId="5EC158BE" w14:textId="24E8FDED" w:rsidR="00EE670D" w:rsidRPr="00483DC7" w:rsidRDefault="00EE670D" w:rsidP="00A85CF5">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În calitate de membri ai </w:t>
      </w:r>
      <w:r w:rsidR="00FA2137" w:rsidRPr="00483DC7">
        <w:rPr>
          <w:rFonts w:ascii="Times New Roman" w:hAnsi="Times New Roman" w:cs="Times New Roman"/>
          <w:color w:val="000000" w:themeColor="text1"/>
          <w:sz w:val="24"/>
          <w:szCs w:val="24"/>
          <w:lang w:val="ro-MD"/>
        </w:rPr>
        <w:t>OCS</w:t>
      </w:r>
      <w:r w:rsidRPr="00483DC7">
        <w:rPr>
          <w:rFonts w:ascii="Times New Roman" w:hAnsi="Times New Roman" w:cs="Times New Roman"/>
          <w:color w:val="000000" w:themeColor="text1"/>
          <w:sz w:val="24"/>
          <w:szCs w:val="24"/>
          <w:lang w:val="ro-MD"/>
        </w:rPr>
        <w:t xml:space="preserve"> sunt desemnați </w:t>
      </w:r>
      <w:r w:rsidR="006C23AF">
        <w:rPr>
          <w:rFonts w:ascii="Times New Roman" w:hAnsi="Times New Roman" w:cs="Times New Roman"/>
          <w:color w:val="000000" w:themeColor="text1"/>
          <w:sz w:val="24"/>
          <w:szCs w:val="24"/>
          <w:lang w:val="ro-MD"/>
        </w:rPr>
        <w:t xml:space="preserve">adesea </w:t>
      </w:r>
      <w:r w:rsidRPr="00483DC7">
        <w:rPr>
          <w:rFonts w:ascii="Times New Roman" w:hAnsi="Times New Roman" w:cs="Times New Roman"/>
          <w:color w:val="000000" w:themeColor="text1"/>
          <w:sz w:val="24"/>
          <w:szCs w:val="24"/>
          <w:lang w:val="ro-MD"/>
        </w:rPr>
        <w:t>demnitari și funcționari publici cu funcții de conducere</w:t>
      </w:r>
      <w:r w:rsidR="001D5EA9" w:rsidRPr="00483DC7">
        <w:rPr>
          <w:rFonts w:ascii="Times New Roman" w:hAnsi="Times New Roman" w:cs="Times New Roman"/>
          <w:color w:val="000000" w:themeColor="text1"/>
          <w:sz w:val="24"/>
          <w:szCs w:val="24"/>
          <w:lang w:val="ro-MD"/>
        </w:rPr>
        <w:t>, preponderent de nivel superior,</w:t>
      </w:r>
      <w:r w:rsidRPr="00483DC7">
        <w:rPr>
          <w:rFonts w:ascii="Times New Roman" w:hAnsi="Times New Roman" w:cs="Times New Roman"/>
          <w:color w:val="000000" w:themeColor="text1"/>
          <w:sz w:val="24"/>
          <w:szCs w:val="24"/>
          <w:lang w:val="ro-MD"/>
        </w:rPr>
        <w:t xml:space="preserve"> din cadrul ministerelor și Cancelariei de </w:t>
      </w:r>
      <w:r w:rsidR="003C0F01">
        <w:rPr>
          <w:rFonts w:ascii="Times New Roman" w:hAnsi="Times New Roman" w:cs="Times New Roman"/>
          <w:color w:val="000000" w:themeColor="text1"/>
          <w:sz w:val="24"/>
          <w:szCs w:val="24"/>
          <w:lang w:val="ro-MD"/>
        </w:rPr>
        <w:t>S</w:t>
      </w:r>
      <w:r w:rsidRPr="00483DC7">
        <w:rPr>
          <w:rFonts w:ascii="Times New Roman" w:hAnsi="Times New Roman" w:cs="Times New Roman"/>
          <w:color w:val="000000" w:themeColor="text1"/>
          <w:sz w:val="24"/>
          <w:szCs w:val="24"/>
          <w:lang w:val="ro-MD"/>
        </w:rPr>
        <w:t>tat (miniștri și/sau secr</w:t>
      </w:r>
      <w:r w:rsidR="003C0F01">
        <w:rPr>
          <w:rFonts w:ascii="Times New Roman" w:hAnsi="Times New Roman" w:cs="Times New Roman"/>
          <w:color w:val="000000" w:themeColor="text1"/>
          <w:sz w:val="24"/>
          <w:szCs w:val="24"/>
          <w:lang w:val="ro-MD"/>
        </w:rPr>
        <w:t>etari de stat, șefi de direcție</w:t>
      </w:r>
      <w:r w:rsidRPr="00483DC7">
        <w:rPr>
          <w:rFonts w:ascii="Times New Roman" w:hAnsi="Times New Roman" w:cs="Times New Roman"/>
          <w:color w:val="000000" w:themeColor="text1"/>
          <w:sz w:val="24"/>
          <w:szCs w:val="24"/>
          <w:lang w:val="ro-MD"/>
        </w:rPr>
        <w:t xml:space="preserve"> etc.), iar în unele cazuri, suplimentar, sunt incluși</w:t>
      </w:r>
      <w:r w:rsidR="00A85CF5" w:rsidRPr="00483DC7">
        <w:rPr>
          <w:rFonts w:ascii="Times New Roman" w:hAnsi="Times New Roman" w:cs="Times New Roman"/>
          <w:color w:val="000000" w:themeColor="text1"/>
          <w:sz w:val="24"/>
          <w:szCs w:val="24"/>
          <w:lang w:val="ro-MD"/>
        </w:rPr>
        <w:t xml:space="preserve"> reprezentanți ai Parlamentului, asociațiilor de profil, partenerilor de dezvoltare, societății c</w:t>
      </w:r>
      <w:r w:rsidR="00BF5BA6" w:rsidRPr="00483DC7">
        <w:rPr>
          <w:rFonts w:ascii="Times New Roman" w:hAnsi="Times New Roman" w:cs="Times New Roman"/>
          <w:color w:val="000000" w:themeColor="text1"/>
          <w:sz w:val="24"/>
          <w:szCs w:val="24"/>
          <w:lang w:val="ro-MD"/>
        </w:rPr>
        <w:t>ivile sau ai mediului academic.</w:t>
      </w:r>
      <w:r w:rsidR="00165352" w:rsidRPr="00483DC7">
        <w:rPr>
          <w:rFonts w:ascii="Times New Roman" w:hAnsi="Times New Roman" w:cs="Times New Roman"/>
          <w:color w:val="000000" w:themeColor="text1"/>
          <w:sz w:val="24"/>
          <w:szCs w:val="24"/>
          <w:lang w:val="ro-MD"/>
        </w:rPr>
        <w:t xml:space="preserve"> </w:t>
      </w:r>
      <w:r w:rsidR="00FA2137" w:rsidRPr="00483DC7">
        <w:rPr>
          <w:rFonts w:ascii="Times New Roman" w:hAnsi="Times New Roman" w:cs="Times New Roman"/>
          <w:color w:val="000000" w:themeColor="text1"/>
          <w:sz w:val="24"/>
          <w:szCs w:val="24"/>
          <w:lang w:val="ro-MD"/>
        </w:rPr>
        <w:t>Astfel,</w:t>
      </w:r>
      <w:r w:rsidR="00E14E08" w:rsidRPr="00483DC7">
        <w:rPr>
          <w:rFonts w:ascii="Times New Roman" w:hAnsi="Times New Roman" w:cs="Times New Roman"/>
          <w:color w:val="000000" w:themeColor="text1"/>
          <w:sz w:val="24"/>
          <w:szCs w:val="24"/>
          <w:lang w:val="ro-MD"/>
        </w:rPr>
        <w:t xml:space="preserve"> se conturează anumite circumstanțe care generează riscul ca </w:t>
      </w:r>
      <w:r w:rsidR="00FA2137" w:rsidRPr="00483DC7">
        <w:rPr>
          <w:rFonts w:ascii="Times New Roman" w:hAnsi="Times New Roman" w:cs="Times New Roman"/>
          <w:color w:val="000000" w:themeColor="text1"/>
          <w:sz w:val="24"/>
          <w:szCs w:val="24"/>
          <w:lang w:val="ro-MD"/>
        </w:rPr>
        <w:t>organele colegiale</w:t>
      </w:r>
      <w:r w:rsidR="00E14E08" w:rsidRPr="00483DC7">
        <w:rPr>
          <w:rFonts w:ascii="Times New Roman" w:hAnsi="Times New Roman" w:cs="Times New Roman"/>
          <w:color w:val="000000" w:themeColor="text1"/>
          <w:sz w:val="24"/>
          <w:szCs w:val="24"/>
          <w:lang w:val="ro-MD"/>
        </w:rPr>
        <w:t xml:space="preserve"> să nu se poată convoca în ședință, atunci când membrii acestor organe sunt demnitari de rang înalt, iar sarcinile și atribuțiile de bază stabilite pentru aceștia prin acte normative separate</w:t>
      </w:r>
      <w:r w:rsidR="00E14E08" w:rsidRPr="00483DC7">
        <w:rPr>
          <w:rStyle w:val="FootnoteReference"/>
          <w:rFonts w:ascii="Times New Roman" w:hAnsi="Times New Roman" w:cs="Times New Roman"/>
          <w:color w:val="000000" w:themeColor="text1"/>
          <w:sz w:val="24"/>
          <w:szCs w:val="24"/>
          <w:lang w:val="ro-MD"/>
        </w:rPr>
        <w:footnoteReference w:id="35"/>
      </w:r>
      <w:r w:rsidR="00E14E08" w:rsidRPr="00483DC7">
        <w:rPr>
          <w:rFonts w:ascii="Times New Roman" w:hAnsi="Times New Roman" w:cs="Times New Roman"/>
          <w:color w:val="000000" w:themeColor="text1"/>
          <w:sz w:val="24"/>
          <w:szCs w:val="24"/>
          <w:lang w:val="ro-MD"/>
        </w:rPr>
        <w:t xml:space="preserve"> prevalând în marea majoritate a cazurilor</w:t>
      </w:r>
      <w:r w:rsidR="00A87BCE">
        <w:rPr>
          <w:rFonts w:ascii="Times New Roman" w:hAnsi="Times New Roman" w:cs="Times New Roman"/>
          <w:color w:val="000000" w:themeColor="text1"/>
          <w:sz w:val="24"/>
          <w:szCs w:val="24"/>
          <w:lang w:val="ro-MD"/>
        </w:rPr>
        <w:t xml:space="preserve"> asupra atribuțiilor de membru în OCS</w:t>
      </w:r>
      <w:r w:rsidR="00E14E08" w:rsidRPr="00483DC7">
        <w:rPr>
          <w:rFonts w:ascii="Times New Roman" w:hAnsi="Times New Roman" w:cs="Times New Roman"/>
          <w:color w:val="000000" w:themeColor="text1"/>
          <w:sz w:val="24"/>
          <w:szCs w:val="24"/>
          <w:lang w:val="ro-MD"/>
        </w:rPr>
        <w:t xml:space="preserve">. </w:t>
      </w:r>
    </w:p>
    <w:p w14:paraId="00FB0F94" w14:textId="18D5B0BA" w:rsidR="001F4A2A" w:rsidRPr="00483DC7" w:rsidRDefault="003A3394" w:rsidP="00A85CF5">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L</w:t>
      </w:r>
      <w:r w:rsidR="00713B8B" w:rsidRPr="00483DC7">
        <w:rPr>
          <w:rFonts w:ascii="Times New Roman" w:hAnsi="Times New Roman" w:cs="Times New Roman"/>
          <w:color w:val="000000" w:themeColor="text1"/>
          <w:sz w:val="24"/>
          <w:szCs w:val="24"/>
          <w:lang w:val="ro-MD"/>
        </w:rPr>
        <w:t>egislația în vigoare prevede reglementări</w:t>
      </w:r>
      <w:r w:rsidR="00F90F16" w:rsidRPr="00483DC7">
        <w:rPr>
          <w:rFonts w:ascii="Times New Roman" w:hAnsi="Times New Roman" w:cs="Times New Roman"/>
          <w:color w:val="000000" w:themeColor="text1"/>
          <w:sz w:val="24"/>
          <w:szCs w:val="24"/>
          <w:lang w:val="ro-MD"/>
        </w:rPr>
        <w:t xml:space="preserve"> clare</w:t>
      </w:r>
      <w:r w:rsidR="00713B8B" w:rsidRPr="00483DC7">
        <w:rPr>
          <w:rFonts w:ascii="Times New Roman" w:hAnsi="Times New Roman" w:cs="Times New Roman"/>
          <w:color w:val="000000" w:themeColor="text1"/>
          <w:sz w:val="24"/>
          <w:szCs w:val="24"/>
          <w:lang w:val="ro-MD"/>
        </w:rPr>
        <w:t xml:space="preserve"> cu privire la răspunderea disciplinară, civilă, contravențională și penală a membrilor </w:t>
      </w:r>
      <w:r w:rsidR="00FA2137" w:rsidRPr="00483DC7">
        <w:rPr>
          <w:rFonts w:ascii="Times New Roman" w:hAnsi="Times New Roman" w:cs="Times New Roman"/>
          <w:color w:val="000000" w:themeColor="text1"/>
          <w:sz w:val="24"/>
          <w:szCs w:val="24"/>
          <w:lang w:val="ro-MD"/>
        </w:rPr>
        <w:t>OCS</w:t>
      </w:r>
      <w:r w:rsidR="00713B8B" w:rsidRPr="00483DC7">
        <w:rPr>
          <w:rFonts w:ascii="Times New Roman" w:hAnsi="Times New Roman" w:cs="Times New Roman"/>
          <w:color w:val="000000" w:themeColor="text1"/>
          <w:sz w:val="24"/>
          <w:szCs w:val="24"/>
          <w:lang w:val="ro-MD"/>
        </w:rPr>
        <w:t xml:space="preserve"> pentru eventualele devieri/încălcări/abuzuri comise în exercitarea mandatului respectiv, care însă</w:t>
      </w:r>
      <w:r w:rsidR="00F90F16" w:rsidRPr="00483DC7">
        <w:rPr>
          <w:rFonts w:ascii="Times New Roman" w:hAnsi="Times New Roman" w:cs="Times New Roman"/>
          <w:color w:val="000000" w:themeColor="text1"/>
          <w:sz w:val="24"/>
          <w:szCs w:val="24"/>
          <w:lang w:val="ro-MD"/>
        </w:rPr>
        <w:t xml:space="preserve">, în unele cazuri, </w:t>
      </w:r>
      <w:r w:rsidR="00713B8B" w:rsidRPr="00483DC7">
        <w:rPr>
          <w:rFonts w:ascii="Times New Roman" w:hAnsi="Times New Roman" w:cs="Times New Roman"/>
          <w:color w:val="000000" w:themeColor="text1"/>
          <w:sz w:val="24"/>
          <w:szCs w:val="24"/>
          <w:lang w:val="ro-MD"/>
        </w:rPr>
        <w:t>n</w:t>
      </w:r>
      <w:r w:rsidR="00F90F16" w:rsidRPr="00483DC7">
        <w:rPr>
          <w:rFonts w:ascii="Times New Roman" w:hAnsi="Times New Roman" w:cs="Times New Roman"/>
          <w:color w:val="000000" w:themeColor="text1"/>
          <w:sz w:val="24"/>
          <w:szCs w:val="24"/>
          <w:lang w:val="ro-MD"/>
        </w:rPr>
        <w:t>u</w:t>
      </w:r>
      <w:r w:rsidR="00713B8B" w:rsidRPr="00483DC7">
        <w:rPr>
          <w:rFonts w:ascii="Times New Roman" w:hAnsi="Times New Roman" w:cs="Times New Roman"/>
          <w:color w:val="000000" w:themeColor="text1"/>
          <w:sz w:val="24"/>
          <w:szCs w:val="24"/>
          <w:lang w:val="ro-MD"/>
        </w:rPr>
        <w:t xml:space="preserve"> au fost transpuse în </w:t>
      </w:r>
      <w:r w:rsidR="00B955D7" w:rsidRPr="00483DC7">
        <w:rPr>
          <w:rFonts w:ascii="Times New Roman" w:hAnsi="Times New Roman" w:cs="Times New Roman"/>
          <w:color w:val="000000" w:themeColor="text1"/>
          <w:sz w:val="24"/>
          <w:szCs w:val="24"/>
          <w:lang w:val="ro-MD"/>
        </w:rPr>
        <w:t>actele de constituire a UIPFAE</w:t>
      </w:r>
      <w:r w:rsidR="00E14E08" w:rsidRPr="00483DC7">
        <w:rPr>
          <w:rFonts w:ascii="Times New Roman" w:hAnsi="Times New Roman" w:cs="Times New Roman"/>
          <w:color w:val="000000" w:themeColor="text1"/>
          <w:sz w:val="24"/>
          <w:szCs w:val="24"/>
          <w:lang w:val="ro-MD"/>
        </w:rPr>
        <w:t xml:space="preserve"> și/sau nu sunt suficiente pentru asigurarea performanței maxime a acestor organe colegiale. Spre exemplu, echipa de audit nu a identificat în regulamentel</w:t>
      </w:r>
      <w:r w:rsidR="003C0F01">
        <w:rPr>
          <w:rFonts w:ascii="Times New Roman" w:hAnsi="Times New Roman" w:cs="Times New Roman"/>
          <w:color w:val="000000" w:themeColor="text1"/>
          <w:sz w:val="24"/>
          <w:szCs w:val="24"/>
          <w:lang w:val="ro-MD"/>
        </w:rPr>
        <w:t>e</w:t>
      </w:r>
      <w:r w:rsidR="00E14E08" w:rsidRPr="00483DC7">
        <w:rPr>
          <w:rFonts w:ascii="Times New Roman" w:hAnsi="Times New Roman" w:cs="Times New Roman"/>
          <w:color w:val="000000" w:themeColor="text1"/>
          <w:sz w:val="24"/>
          <w:szCs w:val="24"/>
          <w:lang w:val="ro-MD"/>
        </w:rPr>
        <w:t xml:space="preserve"> de constituire a UIPFAE și/sau </w:t>
      </w:r>
      <w:r w:rsidR="003C0F01">
        <w:rPr>
          <w:rFonts w:ascii="Times New Roman" w:hAnsi="Times New Roman" w:cs="Times New Roman"/>
          <w:color w:val="000000" w:themeColor="text1"/>
          <w:sz w:val="24"/>
          <w:szCs w:val="24"/>
          <w:lang w:val="ro-MD"/>
        </w:rPr>
        <w:t xml:space="preserve">în </w:t>
      </w:r>
      <w:r w:rsidR="00E14E08" w:rsidRPr="00483DC7">
        <w:rPr>
          <w:rFonts w:ascii="Times New Roman" w:hAnsi="Times New Roman" w:cs="Times New Roman"/>
          <w:color w:val="000000" w:themeColor="text1"/>
          <w:sz w:val="24"/>
          <w:szCs w:val="24"/>
          <w:lang w:val="ro-MD"/>
        </w:rPr>
        <w:t>regulamentel</w:t>
      </w:r>
      <w:r w:rsidR="003C0F01">
        <w:rPr>
          <w:rFonts w:ascii="Times New Roman" w:hAnsi="Times New Roman" w:cs="Times New Roman"/>
          <w:color w:val="000000" w:themeColor="text1"/>
          <w:sz w:val="24"/>
          <w:szCs w:val="24"/>
          <w:lang w:val="ro-MD"/>
        </w:rPr>
        <w:t>e</w:t>
      </w:r>
      <w:r w:rsidR="00E14E08" w:rsidRPr="00483DC7">
        <w:rPr>
          <w:rFonts w:ascii="Times New Roman" w:hAnsi="Times New Roman" w:cs="Times New Roman"/>
          <w:color w:val="000000" w:themeColor="text1"/>
          <w:sz w:val="24"/>
          <w:szCs w:val="24"/>
          <w:lang w:val="ro-MD"/>
        </w:rPr>
        <w:t xml:space="preserve"> de activitate a OCS consecințele absenței membrilor </w:t>
      </w:r>
      <w:r w:rsidR="00B955D7" w:rsidRPr="00483DC7">
        <w:rPr>
          <w:rFonts w:ascii="Times New Roman" w:hAnsi="Times New Roman" w:cs="Times New Roman"/>
          <w:color w:val="000000" w:themeColor="text1"/>
          <w:sz w:val="24"/>
          <w:szCs w:val="24"/>
          <w:lang w:val="ro-MD"/>
        </w:rPr>
        <w:t xml:space="preserve">de la ședința OCS, sau imposibilitatea convocării acestora în ședința planificată. </w:t>
      </w:r>
    </w:p>
    <w:p w14:paraId="50E9C5F3" w14:textId="44D35310" w:rsidR="00A85CF5" w:rsidRPr="00483DC7" w:rsidRDefault="001F4A2A" w:rsidP="00BA17FA">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În opinia auditului, ambiguitatea juridică admisă, deși nu exonerează membrii organelor de supraveghere de răspunderea juridică, poate </w:t>
      </w:r>
      <w:r w:rsidR="00714CB9" w:rsidRPr="00483DC7">
        <w:rPr>
          <w:rFonts w:ascii="Times New Roman" w:hAnsi="Times New Roman" w:cs="Times New Roman"/>
          <w:color w:val="000000" w:themeColor="text1"/>
          <w:sz w:val="24"/>
          <w:szCs w:val="24"/>
          <w:lang w:val="ro-MD"/>
        </w:rPr>
        <w:t xml:space="preserve">conduce la o </w:t>
      </w:r>
      <w:r w:rsidR="002D44B2" w:rsidRPr="00483DC7">
        <w:rPr>
          <w:rFonts w:ascii="Times New Roman" w:hAnsi="Times New Roman" w:cs="Times New Roman"/>
          <w:color w:val="000000" w:themeColor="text1"/>
          <w:sz w:val="24"/>
          <w:szCs w:val="24"/>
          <w:lang w:val="ro-MD"/>
        </w:rPr>
        <w:t xml:space="preserve">executare </w:t>
      </w:r>
      <w:r w:rsidR="00714CB9" w:rsidRPr="00483DC7">
        <w:rPr>
          <w:rFonts w:ascii="Times New Roman" w:hAnsi="Times New Roman" w:cs="Times New Roman"/>
          <w:color w:val="000000" w:themeColor="text1"/>
          <w:sz w:val="24"/>
          <w:szCs w:val="24"/>
          <w:lang w:val="ro-MD"/>
        </w:rPr>
        <w:t xml:space="preserve">superficială a responsabilităților care le revin. </w:t>
      </w:r>
    </w:p>
    <w:tbl>
      <w:tblPr>
        <w:tblStyle w:val="TableGrid"/>
        <w:tblW w:w="9351" w:type="dxa"/>
        <w:tblLayout w:type="fixed"/>
        <w:tblLook w:val="04A0" w:firstRow="1" w:lastRow="0" w:firstColumn="1" w:lastColumn="0" w:noHBand="0" w:noVBand="1"/>
      </w:tblPr>
      <w:tblGrid>
        <w:gridCol w:w="2689"/>
        <w:gridCol w:w="567"/>
        <w:gridCol w:w="567"/>
        <w:gridCol w:w="425"/>
        <w:gridCol w:w="567"/>
        <w:gridCol w:w="567"/>
        <w:gridCol w:w="567"/>
        <w:gridCol w:w="567"/>
        <w:gridCol w:w="567"/>
        <w:gridCol w:w="567"/>
        <w:gridCol w:w="567"/>
        <w:gridCol w:w="567"/>
        <w:gridCol w:w="567"/>
      </w:tblGrid>
      <w:tr w:rsidR="00EE670D" w:rsidRPr="00483DC7" w14:paraId="0CDC0FD5" w14:textId="77777777" w:rsidTr="00797D0E">
        <w:trPr>
          <w:cantSplit/>
          <w:trHeight w:val="424"/>
        </w:trPr>
        <w:tc>
          <w:tcPr>
            <w:tcW w:w="9351" w:type="dxa"/>
            <w:gridSpan w:val="13"/>
            <w:tcBorders>
              <w:top w:val="single" w:sz="4" w:space="0" w:color="FFFFFF"/>
              <w:left w:val="single" w:sz="4" w:space="0" w:color="FFFFFF"/>
              <w:right w:val="single" w:sz="4" w:space="0" w:color="FFFFFF"/>
            </w:tcBorders>
            <w:shd w:val="clear" w:color="auto" w:fill="FFFFFF" w:themeFill="background1"/>
            <w:vAlign w:val="center"/>
          </w:tcPr>
          <w:p w14:paraId="4946D5C7" w14:textId="77777777" w:rsidR="00EE670D" w:rsidRPr="00483DC7" w:rsidRDefault="00EE670D" w:rsidP="00EE670D">
            <w:pPr>
              <w:spacing w:line="276" w:lineRule="auto"/>
              <w:ind w:left="113"/>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Tabelul nr.2</w:t>
            </w:r>
          </w:p>
          <w:p w14:paraId="3D8405B7" w14:textId="1C50761D" w:rsidR="00EE670D" w:rsidRPr="00483DC7" w:rsidRDefault="00EE670D" w:rsidP="003C0F01">
            <w:pPr>
              <w:spacing w:line="276" w:lineRule="auto"/>
              <w:ind w:left="113" w:right="113"/>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Analiza </w:t>
            </w:r>
            <w:r w:rsidR="00AC5759" w:rsidRPr="00483DC7">
              <w:rPr>
                <w:rFonts w:ascii="Times New Roman" w:hAnsi="Times New Roman" w:cs="Times New Roman"/>
                <w:b/>
                <w:sz w:val="20"/>
                <w:szCs w:val="20"/>
                <w:lang w:val="ro-MD"/>
              </w:rPr>
              <w:t>cerințelor</w:t>
            </w:r>
            <w:r w:rsidRPr="00483DC7">
              <w:rPr>
                <w:rFonts w:ascii="Times New Roman" w:hAnsi="Times New Roman" w:cs="Times New Roman"/>
                <w:b/>
                <w:sz w:val="20"/>
                <w:szCs w:val="20"/>
                <w:lang w:val="ro-MD"/>
              </w:rPr>
              <w:t xml:space="preserve"> aferente mandatului </w:t>
            </w:r>
            <w:r w:rsidR="003C0F01">
              <w:rPr>
                <w:rFonts w:ascii="Times New Roman" w:hAnsi="Times New Roman" w:cs="Times New Roman"/>
                <w:b/>
                <w:sz w:val="20"/>
                <w:szCs w:val="20"/>
                <w:lang w:val="ro-MD"/>
              </w:rPr>
              <w:t>o</w:t>
            </w:r>
            <w:r w:rsidRPr="00483DC7">
              <w:rPr>
                <w:rFonts w:ascii="Times New Roman" w:hAnsi="Times New Roman" w:cs="Times New Roman"/>
                <w:b/>
                <w:sz w:val="20"/>
                <w:szCs w:val="20"/>
                <w:lang w:val="ro-MD"/>
              </w:rPr>
              <w:t>rganelor colegiale de supraveghere a UIPFAE</w:t>
            </w:r>
          </w:p>
        </w:tc>
      </w:tr>
      <w:tr w:rsidR="00EE670D" w:rsidRPr="00483DC7" w14:paraId="26AFB3E5" w14:textId="77777777" w:rsidTr="00797D0E">
        <w:trPr>
          <w:cantSplit/>
          <w:trHeight w:val="1550"/>
        </w:trPr>
        <w:tc>
          <w:tcPr>
            <w:tcW w:w="2689" w:type="dxa"/>
            <w:shd w:val="clear" w:color="auto" w:fill="DEEAF6" w:themeFill="accent1" w:themeFillTint="33"/>
            <w:vAlign w:val="center"/>
          </w:tcPr>
          <w:p w14:paraId="71580364" w14:textId="77777777" w:rsidR="00EE670D" w:rsidRPr="00483DC7" w:rsidRDefault="00EE670D" w:rsidP="00EE670D">
            <w:pPr>
              <w:spacing w:line="276" w:lineRule="auto"/>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Indicator</w:t>
            </w:r>
          </w:p>
        </w:tc>
        <w:tc>
          <w:tcPr>
            <w:tcW w:w="567" w:type="dxa"/>
            <w:shd w:val="clear" w:color="auto" w:fill="DEEAF6" w:themeFill="accent1" w:themeFillTint="33"/>
            <w:textDirection w:val="btLr"/>
            <w:vAlign w:val="center"/>
          </w:tcPr>
          <w:p w14:paraId="58870930"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ADMA</w:t>
            </w:r>
          </w:p>
        </w:tc>
        <w:tc>
          <w:tcPr>
            <w:tcW w:w="567" w:type="dxa"/>
            <w:shd w:val="clear" w:color="auto" w:fill="DEEAF6" w:themeFill="accent1" w:themeFillTint="33"/>
            <w:textDirection w:val="btLr"/>
            <w:vAlign w:val="center"/>
          </w:tcPr>
          <w:p w14:paraId="4F786C00"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OGPAE</w:t>
            </w:r>
          </w:p>
        </w:tc>
        <w:tc>
          <w:tcPr>
            <w:tcW w:w="425" w:type="dxa"/>
            <w:shd w:val="clear" w:color="auto" w:fill="DEEAF6" w:themeFill="accent1" w:themeFillTint="33"/>
            <w:textDirection w:val="btLr"/>
            <w:vAlign w:val="center"/>
          </w:tcPr>
          <w:p w14:paraId="59D4159D"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ONDRL</w:t>
            </w:r>
          </w:p>
        </w:tc>
        <w:tc>
          <w:tcPr>
            <w:tcW w:w="567" w:type="dxa"/>
            <w:shd w:val="clear" w:color="auto" w:fill="DEEAF6" w:themeFill="accent1" w:themeFillTint="33"/>
            <w:textDirection w:val="btLr"/>
            <w:vAlign w:val="center"/>
          </w:tcPr>
          <w:p w14:paraId="384E0B2B"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ONIPM</w:t>
            </w:r>
          </w:p>
        </w:tc>
        <w:tc>
          <w:tcPr>
            <w:tcW w:w="567" w:type="dxa"/>
            <w:shd w:val="clear" w:color="auto" w:fill="DEEAF6" w:themeFill="accent1" w:themeFillTint="33"/>
            <w:textDirection w:val="btLr"/>
            <w:vAlign w:val="center"/>
          </w:tcPr>
          <w:p w14:paraId="250F3003"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UCIMPA</w:t>
            </w:r>
          </w:p>
        </w:tc>
        <w:tc>
          <w:tcPr>
            <w:tcW w:w="567" w:type="dxa"/>
            <w:shd w:val="clear" w:color="auto" w:fill="DEEAF6" w:themeFill="accent1" w:themeFillTint="33"/>
            <w:textDirection w:val="btLr"/>
            <w:vAlign w:val="center"/>
          </w:tcPr>
          <w:p w14:paraId="52B1B031"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 DS</w:t>
            </w:r>
          </w:p>
        </w:tc>
        <w:tc>
          <w:tcPr>
            <w:tcW w:w="567" w:type="dxa"/>
            <w:shd w:val="clear" w:color="auto" w:fill="DEEAF6" w:themeFill="accent1" w:themeFillTint="33"/>
            <w:textDirection w:val="btLr"/>
            <w:vAlign w:val="center"/>
          </w:tcPr>
          <w:p w14:paraId="05C11E1F"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UCIMPRSVV</w:t>
            </w:r>
          </w:p>
        </w:tc>
        <w:tc>
          <w:tcPr>
            <w:tcW w:w="567" w:type="dxa"/>
            <w:shd w:val="clear" w:color="auto" w:fill="DEEAF6" w:themeFill="accent1" w:themeFillTint="33"/>
            <w:textDirection w:val="btLr"/>
            <w:vAlign w:val="center"/>
          </w:tcPr>
          <w:p w14:paraId="5CAD4854"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UCIPE</w:t>
            </w:r>
          </w:p>
        </w:tc>
        <w:tc>
          <w:tcPr>
            <w:tcW w:w="567" w:type="dxa"/>
            <w:shd w:val="clear" w:color="auto" w:fill="DEEAF6" w:themeFill="accent1" w:themeFillTint="33"/>
            <w:textDirection w:val="btLr"/>
            <w:vAlign w:val="center"/>
          </w:tcPr>
          <w:p w14:paraId="7EBC99C6"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UCIP IFAD</w:t>
            </w:r>
          </w:p>
        </w:tc>
        <w:tc>
          <w:tcPr>
            <w:tcW w:w="567" w:type="dxa"/>
            <w:shd w:val="clear" w:color="auto" w:fill="DEEAF6" w:themeFill="accent1" w:themeFillTint="33"/>
            <w:textDirection w:val="btLr"/>
            <w:vAlign w:val="center"/>
          </w:tcPr>
          <w:p w14:paraId="24644A46"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UIPAC</w:t>
            </w:r>
          </w:p>
        </w:tc>
        <w:tc>
          <w:tcPr>
            <w:tcW w:w="567" w:type="dxa"/>
            <w:shd w:val="clear" w:color="auto" w:fill="DEEAF6" w:themeFill="accent1" w:themeFillTint="33"/>
            <w:textDirection w:val="btLr"/>
            <w:vAlign w:val="center"/>
          </w:tcPr>
          <w:p w14:paraId="36823752"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UIPCLPV II</w:t>
            </w:r>
          </w:p>
        </w:tc>
        <w:tc>
          <w:tcPr>
            <w:tcW w:w="567" w:type="dxa"/>
            <w:shd w:val="clear" w:color="auto" w:fill="DEEAF6" w:themeFill="accent1" w:themeFillTint="33"/>
            <w:textDirection w:val="btLr"/>
            <w:vAlign w:val="center"/>
          </w:tcPr>
          <w:p w14:paraId="3C91211A" w14:textId="77777777" w:rsidR="00EE670D" w:rsidRPr="00483DC7" w:rsidRDefault="00EE670D" w:rsidP="00EE670D">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UIPCPC</w:t>
            </w:r>
          </w:p>
        </w:tc>
      </w:tr>
      <w:tr w:rsidR="00EE670D" w:rsidRPr="00483DC7" w14:paraId="6F70ED74" w14:textId="77777777" w:rsidTr="00797D0E">
        <w:trPr>
          <w:trHeight w:val="421"/>
        </w:trPr>
        <w:tc>
          <w:tcPr>
            <w:tcW w:w="2689" w:type="dxa"/>
          </w:tcPr>
          <w:p w14:paraId="3D951CAD" w14:textId="77777777" w:rsidR="00EE670D" w:rsidRPr="00483DC7" w:rsidRDefault="00EE670D" w:rsidP="00EE670D">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Componența numerică a OCS este stipulată în HG ?</w:t>
            </w:r>
          </w:p>
        </w:tc>
        <w:tc>
          <w:tcPr>
            <w:tcW w:w="567" w:type="dxa"/>
            <w:shd w:val="clear" w:color="auto" w:fill="E2EFD9" w:themeFill="accent6" w:themeFillTint="33"/>
            <w:vAlign w:val="center"/>
          </w:tcPr>
          <w:p w14:paraId="1C79F370"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0D7CDA5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425" w:type="dxa"/>
            <w:shd w:val="clear" w:color="auto" w:fill="auto"/>
            <w:vAlign w:val="center"/>
          </w:tcPr>
          <w:p w14:paraId="09D02BF9" w14:textId="77777777" w:rsidR="00EE670D" w:rsidRPr="00483DC7" w:rsidRDefault="00797D0E"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w:t>
            </w:r>
          </w:p>
        </w:tc>
        <w:tc>
          <w:tcPr>
            <w:tcW w:w="567" w:type="dxa"/>
            <w:shd w:val="clear" w:color="auto" w:fill="E2EFD9" w:themeFill="accent6" w:themeFillTint="33"/>
            <w:vAlign w:val="center"/>
          </w:tcPr>
          <w:p w14:paraId="12339B1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0D0AA13"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40197F0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D2A3CFB"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48722713"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5E51DF17"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05E8515F"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w:t>
            </w:r>
            <w:r w:rsidRPr="00483DC7">
              <w:rPr>
                <w:rFonts w:ascii="Times New Roman" w:hAnsi="Times New Roman" w:cs="Times New Roman"/>
                <w:color w:val="000000" w:themeColor="text1"/>
                <w:sz w:val="20"/>
                <w:szCs w:val="20"/>
                <w:shd w:val="clear" w:color="auto" w:fill="E2EFD9" w:themeFill="accent6" w:themeFillTint="33"/>
                <w:lang w:val="ro-MD"/>
              </w:rPr>
              <w:t>A</w:t>
            </w:r>
          </w:p>
        </w:tc>
        <w:tc>
          <w:tcPr>
            <w:tcW w:w="567" w:type="dxa"/>
            <w:shd w:val="clear" w:color="auto" w:fill="E2EFD9" w:themeFill="accent6" w:themeFillTint="33"/>
            <w:vAlign w:val="center"/>
          </w:tcPr>
          <w:p w14:paraId="3C865F16"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09FAA3F7"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r>
      <w:tr w:rsidR="00EE670D" w:rsidRPr="00483DC7" w14:paraId="48D09B38" w14:textId="77777777" w:rsidTr="00797D0E">
        <w:trPr>
          <w:trHeight w:val="421"/>
        </w:trPr>
        <w:tc>
          <w:tcPr>
            <w:tcW w:w="2689" w:type="dxa"/>
          </w:tcPr>
          <w:p w14:paraId="5A527A38" w14:textId="77777777" w:rsidR="00EE670D" w:rsidRPr="00483DC7" w:rsidRDefault="00EE670D" w:rsidP="00EE670D">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Președinte/ membru al OCS este ministrul de ramură ?</w:t>
            </w:r>
          </w:p>
        </w:tc>
        <w:tc>
          <w:tcPr>
            <w:tcW w:w="567" w:type="dxa"/>
            <w:shd w:val="clear" w:color="auto" w:fill="E2EFD9" w:themeFill="accent6" w:themeFillTint="33"/>
            <w:vAlign w:val="center"/>
          </w:tcPr>
          <w:p w14:paraId="29279295"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6E2F289B"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425" w:type="dxa"/>
            <w:shd w:val="clear" w:color="auto" w:fill="auto"/>
            <w:vAlign w:val="center"/>
          </w:tcPr>
          <w:p w14:paraId="2235B148" w14:textId="77777777" w:rsidR="00EE670D" w:rsidRPr="00483DC7" w:rsidRDefault="00797D0E"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w:t>
            </w:r>
          </w:p>
        </w:tc>
        <w:tc>
          <w:tcPr>
            <w:tcW w:w="567" w:type="dxa"/>
            <w:shd w:val="clear" w:color="auto" w:fill="E2EFD9" w:themeFill="accent6" w:themeFillTint="33"/>
            <w:vAlign w:val="center"/>
          </w:tcPr>
          <w:p w14:paraId="00DECB16"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7E21B9BE"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EDFBB69"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1825AD99"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7881833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1B931359"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7459EC4F"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38CB8EA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742BA11C"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r>
      <w:tr w:rsidR="00EE670D" w:rsidRPr="00483DC7" w14:paraId="5700816B" w14:textId="77777777" w:rsidTr="00797D0E">
        <w:trPr>
          <w:trHeight w:val="421"/>
        </w:trPr>
        <w:tc>
          <w:tcPr>
            <w:tcW w:w="2689" w:type="dxa"/>
          </w:tcPr>
          <w:p w14:paraId="05DF8A7D" w14:textId="77777777" w:rsidR="00EE670D" w:rsidRPr="00483DC7" w:rsidRDefault="00EE670D" w:rsidP="00EE670D">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 xml:space="preserve">Membrii OCS sunt reprezentanți ai mai multor instituții? </w:t>
            </w:r>
          </w:p>
        </w:tc>
        <w:tc>
          <w:tcPr>
            <w:tcW w:w="567" w:type="dxa"/>
            <w:shd w:val="clear" w:color="auto" w:fill="E2EFD9" w:themeFill="accent6" w:themeFillTint="33"/>
            <w:vAlign w:val="center"/>
          </w:tcPr>
          <w:p w14:paraId="6BD09A66"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3CC035B6"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425" w:type="dxa"/>
            <w:shd w:val="clear" w:color="auto" w:fill="auto"/>
            <w:vAlign w:val="center"/>
          </w:tcPr>
          <w:p w14:paraId="34D96E4B" w14:textId="77777777" w:rsidR="00EE670D" w:rsidRPr="00483DC7" w:rsidRDefault="00797D0E"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w:t>
            </w:r>
          </w:p>
        </w:tc>
        <w:tc>
          <w:tcPr>
            <w:tcW w:w="567" w:type="dxa"/>
            <w:shd w:val="clear" w:color="auto" w:fill="E2EFD9" w:themeFill="accent6" w:themeFillTint="33"/>
            <w:vAlign w:val="center"/>
          </w:tcPr>
          <w:p w14:paraId="146911A9"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1DD72EC7"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32A4C7A"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8C4C965"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06F292A"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38B2BAB"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D16F8D1"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5543E85"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BEF50ED"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r>
      <w:tr w:rsidR="00EE670D" w:rsidRPr="00483DC7" w14:paraId="2BE0E8B7" w14:textId="77777777" w:rsidTr="001D2539">
        <w:tc>
          <w:tcPr>
            <w:tcW w:w="2689" w:type="dxa"/>
          </w:tcPr>
          <w:p w14:paraId="53ED990F" w14:textId="77777777" w:rsidR="00EE670D" w:rsidRPr="00483DC7" w:rsidRDefault="00EE670D" w:rsidP="00EE670D">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A fost respectat numărul limită de ședințe pe an ?</w:t>
            </w:r>
          </w:p>
        </w:tc>
        <w:tc>
          <w:tcPr>
            <w:tcW w:w="567" w:type="dxa"/>
            <w:shd w:val="clear" w:color="auto" w:fill="E2EFD9" w:themeFill="accent6" w:themeFillTint="33"/>
            <w:vAlign w:val="center"/>
          </w:tcPr>
          <w:p w14:paraId="5D15A9B7"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31CC67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425" w:type="dxa"/>
            <w:shd w:val="clear" w:color="auto" w:fill="auto"/>
            <w:vAlign w:val="center"/>
          </w:tcPr>
          <w:p w14:paraId="21F5CBA6" w14:textId="77777777" w:rsidR="00EE670D" w:rsidRPr="00483DC7" w:rsidRDefault="00797D0E"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w:t>
            </w:r>
          </w:p>
        </w:tc>
        <w:tc>
          <w:tcPr>
            <w:tcW w:w="567" w:type="dxa"/>
            <w:shd w:val="clear" w:color="auto" w:fill="E2EFD9" w:themeFill="accent6" w:themeFillTint="33"/>
            <w:vAlign w:val="center"/>
          </w:tcPr>
          <w:p w14:paraId="6D9256AD"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22140D9B" w14:textId="01136161" w:rsidR="00EE670D" w:rsidRPr="00483DC7" w:rsidRDefault="0089371F"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w:t>
            </w:r>
          </w:p>
        </w:tc>
        <w:tc>
          <w:tcPr>
            <w:tcW w:w="567" w:type="dxa"/>
            <w:shd w:val="clear" w:color="auto" w:fill="auto"/>
            <w:vAlign w:val="center"/>
          </w:tcPr>
          <w:p w14:paraId="765AB65E"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auto"/>
            <w:vAlign w:val="center"/>
          </w:tcPr>
          <w:p w14:paraId="111323CB"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auto"/>
            <w:vAlign w:val="center"/>
          </w:tcPr>
          <w:p w14:paraId="2650EF1A"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09F16F72"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0E4D2855" w14:textId="43C00142" w:rsidR="00EE670D" w:rsidRPr="00483DC7" w:rsidRDefault="001D2539"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auto"/>
            <w:vAlign w:val="center"/>
          </w:tcPr>
          <w:p w14:paraId="4110F608"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42BB70BD" w14:textId="77777777" w:rsidR="00EE670D" w:rsidRPr="00483DC7" w:rsidRDefault="00EE670D" w:rsidP="00EE670D">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r>
      <w:tr w:rsidR="00EE670D" w:rsidRPr="00483DC7" w14:paraId="0681998E" w14:textId="77777777" w:rsidTr="00797D0E">
        <w:trPr>
          <w:trHeight w:val="385"/>
        </w:trPr>
        <w:tc>
          <w:tcPr>
            <w:tcW w:w="9351" w:type="dxa"/>
            <w:gridSpan w:val="13"/>
            <w:tcBorders>
              <w:left w:val="single" w:sz="4" w:space="0" w:color="FFFFFF" w:themeColor="background1"/>
              <w:bottom w:val="single" w:sz="4" w:space="0" w:color="FFFFFF" w:themeColor="background1"/>
              <w:right w:val="single" w:sz="4" w:space="0" w:color="FFFFFF" w:themeColor="background1"/>
            </w:tcBorders>
          </w:tcPr>
          <w:p w14:paraId="6E4C7717" w14:textId="5397CF87" w:rsidR="00EE670D" w:rsidRPr="00483DC7" w:rsidRDefault="00EE670D" w:rsidP="00A87BCE">
            <w:pPr>
              <w:spacing w:line="276" w:lineRule="auto"/>
              <w:jc w:val="center"/>
              <w:rPr>
                <w:rFonts w:ascii="Times New Roman" w:hAnsi="Times New Roman" w:cs="Times New Roman"/>
                <w:i/>
                <w:color w:val="000000" w:themeColor="text1"/>
                <w:sz w:val="20"/>
                <w:szCs w:val="20"/>
                <w:lang w:val="ro-MD"/>
              </w:rPr>
            </w:pPr>
            <w:r w:rsidRPr="00483DC7">
              <w:rPr>
                <w:rFonts w:ascii="Times New Roman" w:hAnsi="Times New Roman" w:cs="Times New Roman"/>
                <w:b/>
                <w:i/>
                <w:color w:val="000000" w:themeColor="text1"/>
                <w:sz w:val="20"/>
                <w:szCs w:val="20"/>
                <w:lang w:val="ro-MD"/>
              </w:rPr>
              <w:t>Sursa:</w:t>
            </w:r>
            <w:r w:rsidRPr="00483DC7">
              <w:rPr>
                <w:rFonts w:ascii="Times New Roman" w:hAnsi="Times New Roman" w:cs="Times New Roman"/>
                <w:i/>
                <w:color w:val="000000" w:themeColor="text1"/>
                <w:sz w:val="20"/>
                <w:szCs w:val="20"/>
                <w:lang w:val="ro-MD"/>
              </w:rPr>
              <w:t xml:space="preserve"> Întocmit de către audit, conform prevederilor Hotărârilor de Guvern cu privire la crearea UIPFAE</w:t>
            </w:r>
            <w:r w:rsidR="00A87BCE">
              <w:rPr>
                <w:rFonts w:ascii="Times New Roman" w:hAnsi="Times New Roman" w:cs="Times New Roman"/>
                <w:i/>
                <w:color w:val="000000" w:themeColor="text1"/>
                <w:sz w:val="20"/>
                <w:szCs w:val="20"/>
                <w:lang w:val="ro-MD"/>
              </w:rPr>
              <w:t xml:space="preserve">  (Vezi Anexa nr.4 la Raportul de audit)</w:t>
            </w:r>
            <w:r w:rsidRPr="00483DC7">
              <w:rPr>
                <w:rFonts w:ascii="Times New Roman" w:hAnsi="Times New Roman" w:cs="Times New Roman"/>
                <w:i/>
                <w:color w:val="000000" w:themeColor="text1"/>
                <w:sz w:val="20"/>
                <w:szCs w:val="20"/>
                <w:lang w:val="ro-MD"/>
              </w:rPr>
              <w:t xml:space="preserve">. </w:t>
            </w:r>
          </w:p>
        </w:tc>
      </w:tr>
    </w:tbl>
    <w:p w14:paraId="15C2BED0" w14:textId="3EE62A5D" w:rsidR="000C6647" w:rsidRPr="00483DC7" w:rsidRDefault="009B01CF" w:rsidP="00A87BCE">
      <w:pPr>
        <w:spacing w:before="240"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lastRenderedPageBreak/>
        <w:t>De asemenea, auditul a stabilit că</w:t>
      </w:r>
      <w:r w:rsidR="00BA17FA" w:rsidRPr="00483DC7">
        <w:rPr>
          <w:rFonts w:ascii="Times New Roman" w:hAnsi="Times New Roman" w:cs="Times New Roman"/>
          <w:color w:val="000000" w:themeColor="text1"/>
          <w:sz w:val="24"/>
          <w:szCs w:val="24"/>
          <w:lang w:val="ro-MD"/>
        </w:rPr>
        <w:t xml:space="preserve"> actele de constituire a UIPFAE reglementează doar atribuțiile generale ale </w:t>
      </w:r>
      <w:r w:rsidR="003C0F01">
        <w:rPr>
          <w:rFonts w:ascii="Times New Roman" w:hAnsi="Times New Roman" w:cs="Times New Roman"/>
          <w:color w:val="000000" w:themeColor="text1"/>
          <w:sz w:val="24"/>
          <w:szCs w:val="24"/>
          <w:lang w:val="ro-MD"/>
        </w:rPr>
        <w:t>o</w:t>
      </w:r>
      <w:r w:rsidR="001A3EF4" w:rsidRPr="00483DC7">
        <w:rPr>
          <w:rFonts w:ascii="Times New Roman" w:hAnsi="Times New Roman" w:cs="Times New Roman"/>
          <w:color w:val="000000" w:themeColor="text1"/>
          <w:sz w:val="24"/>
          <w:szCs w:val="24"/>
          <w:lang w:val="ro-MD"/>
        </w:rPr>
        <w:t xml:space="preserve">rganului de </w:t>
      </w:r>
      <w:r w:rsidR="003C0F01">
        <w:rPr>
          <w:rFonts w:ascii="Times New Roman" w:hAnsi="Times New Roman" w:cs="Times New Roman"/>
          <w:color w:val="000000" w:themeColor="text1"/>
          <w:sz w:val="24"/>
          <w:szCs w:val="24"/>
          <w:lang w:val="ro-MD"/>
        </w:rPr>
        <w:t>s</w:t>
      </w:r>
      <w:r w:rsidR="001A3EF4" w:rsidRPr="00483DC7">
        <w:rPr>
          <w:rFonts w:ascii="Times New Roman" w:hAnsi="Times New Roman" w:cs="Times New Roman"/>
          <w:color w:val="000000" w:themeColor="text1"/>
          <w:sz w:val="24"/>
          <w:szCs w:val="24"/>
          <w:lang w:val="ro-MD"/>
        </w:rPr>
        <w:t>upraveghere</w:t>
      </w:r>
      <w:r w:rsidR="00BA17FA" w:rsidRPr="00483DC7">
        <w:rPr>
          <w:rFonts w:ascii="Times New Roman" w:hAnsi="Times New Roman" w:cs="Times New Roman"/>
          <w:color w:val="000000" w:themeColor="text1"/>
          <w:sz w:val="24"/>
          <w:szCs w:val="24"/>
          <w:lang w:val="ro-MD"/>
        </w:rPr>
        <w:t xml:space="preserve">, fără </w:t>
      </w:r>
      <w:r w:rsidR="00EB338F">
        <w:rPr>
          <w:rFonts w:ascii="Times New Roman" w:hAnsi="Times New Roman" w:cs="Times New Roman"/>
          <w:color w:val="000000" w:themeColor="text1"/>
          <w:sz w:val="24"/>
          <w:szCs w:val="24"/>
          <w:lang w:val="ro-MD"/>
        </w:rPr>
        <w:t>delimitarea</w:t>
      </w:r>
      <w:r w:rsidR="00BA17FA" w:rsidRPr="00483DC7">
        <w:rPr>
          <w:rFonts w:ascii="Times New Roman" w:hAnsi="Times New Roman" w:cs="Times New Roman"/>
          <w:color w:val="000000" w:themeColor="text1"/>
          <w:sz w:val="24"/>
          <w:szCs w:val="24"/>
          <w:lang w:val="ro-MD"/>
        </w:rPr>
        <w:t xml:space="preserve"> expres</w:t>
      </w:r>
      <w:r w:rsidR="00EB338F">
        <w:rPr>
          <w:rFonts w:ascii="Times New Roman" w:hAnsi="Times New Roman" w:cs="Times New Roman"/>
          <w:color w:val="000000" w:themeColor="text1"/>
          <w:sz w:val="24"/>
          <w:szCs w:val="24"/>
          <w:lang w:val="ro-MD"/>
        </w:rPr>
        <w:t>ă a sarcinilor</w:t>
      </w:r>
      <w:r w:rsidR="00BA17FA" w:rsidRPr="00483DC7">
        <w:rPr>
          <w:rFonts w:ascii="Times New Roman" w:hAnsi="Times New Roman" w:cs="Times New Roman"/>
          <w:color w:val="000000" w:themeColor="text1"/>
          <w:sz w:val="24"/>
          <w:szCs w:val="24"/>
          <w:lang w:val="ro-MD"/>
        </w:rPr>
        <w:t xml:space="preserve"> specifice fiecărui </w:t>
      </w:r>
      <w:r w:rsidR="001A3EF4" w:rsidRPr="00483DC7">
        <w:rPr>
          <w:rFonts w:ascii="Times New Roman" w:hAnsi="Times New Roman" w:cs="Times New Roman"/>
          <w:color w:val="000000" w:themeColor="text1"/>
          <w:sz w:val="24"/>
          <w:szCs w:val="24"/>
          <w:lang w:val="ro-MD"/>
        </w:rPr>
        <w:t>reprezentant</w:t>
      </w:r>
      <w:r w:rsidR="00A04029" w:rsidRPr="00483DC7">
        <w:rPr>
          <w:rFonts w:ascii="Times New Roman" w:hAnsi="Times New Roman" w:cs="Times New Roman"/>
          <w:color w:val="000000" w:themeColor="text1"/>
          <w:sz w:val="24"/>
          <w:szCs w:val="24"/>
          <w:lang w:val="ro-MD"/>
        </w:rPr>
        <w:t xml:space="preserve"> sau stabilirea unor indicatori de rezultat pentru aceștia,</w:t>
      </w:r>
      <w:r w:rsidR="00BA17FA" w:rsidRPr="00483DC7">
        <w:rPr>
          <w:rFonts w:ascii="Times New Roman" w:hAnsi="Times New Roman" w:cs="Times New Roman"/>
          <w:color w:val="000000" w:themeColor="text1"/>
          <w:sz w:val="24"/>
          <w:szCs w:val="24"/>
          <w:lang w:val="ro-MD"/>
        </w:rPr>
        <w:t xml:space="preserve"> în vederea </w:t>
      </w:r>
      <w:r w:rsidRPr="00483DC7">
        <w:rPr>
          <w:rFonts w:ascii="Times New Roman" w:hAnsi="Times New Roman" w:cs="Times New Roman"/>
          <w:color w:val="000000" w:themeColor="text1"/>
          <w:sz w:val="24"/>
          <w:szCs w:val="24"/>
          <w:lang w:val="ro-MD"/>
        </w:rPr>
        <w:t>prevenirii confuziilor</w:t>
      </w:r>
      <w:r w:rsidR="001A3EF4" w:rsidRPr="00483DC7">
        <w:rPr>
          <w:rFonts w:ascii="Times New Roman" w:hAnsi="Times New Roman" w:cs="Times New Roman"/>
          <w:color w:val="000000" w:themeColor="text1"/>
          <w:sz w:val="24"/>
          <w:szCs w:val="24"/>
          <w:lang w:val="ro-MD"/>
        </w:rPr>
        <w:t xml:space="preserve"> și suprapunerilor de atribuții, asigurând concomitent responsabilizarea și motivația individuală a membrilor OCS.</w:t>
      </w:r>
    </w:p>
    <w:p w14:paraId="32D8B4DD" w14:textId="6BD41C00" w:rsidR="00A87BCE" w:rsidRDefault="00A87BCE" w:rsidP="00A87BCE">
      <w:pPr>
        <w:spacing w:after="0" w:line="276" w:lineRule="auto"/>
        <w:ind w:firstLine="709"/>
        <w:jc w:val="both"/>
        <w:rPr>
          <w:rFonts w:ascii="Times New Roman" w:eastAsia="Times New Roman" w:hAnsi="Times New Roman" w:cs="Times New Roman"/>
          <w:color w:val="000000"/>
          <w:sz w:val="24"/>
          <w:szCs w:val="24"/>
          <w:lang w:val="ro-MD"/>
        </w:rPr>
      </w:pPr>
      <w:r w:rsidRPr="00483DC7">
        <w:rPr>
          <w:rFonts w:ascii="Times New Roman" w:eastAsia="Times New Roman" w:hAnsi="Times New Roman" w:cs="Times New Roman"/>
          <w:color w:val="000000"/>
          <w:sz w:val="24"/>
          <w:szCs w:val="24"/>
          <w:lang w:val="ro-MD"/>
        </w:rPr>
        <w:t>Astfel</w:t>
      </w:r>
      <w:r w:rsidR="00EB338F">
        <w:rPr>
          <w:rFonts w:ascii="Times New Roman" w:eastAsia="Times New Roman" w:hAnsi="Times New Roman" w:cs="Times New Roman"/>
          <w:color w:val="000000"/>
          <w:sz w:val="24"/>
          <w:szCs w:val="24"/>
          <w:lang w:val="ro-MD"/>
        </w:rPr>
        <w:t>,</w:t>
      </w:r>
      <w:r w:rsidRPr="00483DC7">
        <w:rPr>
          <w:rFonts w:ascii="Times New Roman" w:eastAsia="Times New Roman" w:hAnsi="Times New Roman" w:cs="Times New Roman"/>
          <w:color w:val="000000"/>
          <w:sz w:val="24"/>
          <w:szCs w:val="24"/>
          <w:lang w:val="ro-MD"/>
        </w:rPr>
        <w:t xml:space="preserve"> în scopul asigurării unui management eficient și sporir</w:t>
      </w:r>
      <w:r w:rsidR="00EB338F">
        <w:rPr>
          <w:rFonts w:ascii="Times New Roman" w:eastAsia="Times New Roman" w:hAnsi="Times New Roman" w:cs="Times New Roman"/>
          <w:color w:val="000000"/>
          <w:sz w:val="24"/>
          <w:szCs w:val="24"/>
          <w:lang w:val="ro-MD"/>
        </w:rPr>
        <w:t>ii</w:t>
      </w:r>
      <w:r w:rsidRPr="00483DC7">
        <w:rPr>
          <w:rFonts w:ascii="Times New Roman" w:eastAsia="Times New Roman" w:hAnsi="Times New Roman" w:cs="Times New Roman"/>
          <w:color w:val="000000"/>
          <w:sz w:val="24"/>
          <w:szCs w:val="24"/>
          <w:lang w:val="ro-MD"/>
        </w:rPr>
        <w:t xml:space="preserve"> performanțelor OCS ca structură de management a UIPFAE, precum și a fiecărui membru</w:t>
      </w:r>
      <w:r w:rsidR="00EB338F">
        <w:rPr>
          <w:rFonts w:ascii="Times New Roman" w:eastAsia="Times New Roman" w:hAnsi="Times New Roman" w:cs="Times New Roman"/>
          <w:color w:val="000000"/>
          <w:sz w:val="24"/>
          <w:szCs w:val="24"/>
          <w:lang w:val="ro-MD"/>
        </w:rPr>
        <w:t xml:space="preserve"> al</w:t>
      </w:r>
      <w:r w:rsidRPr="00483DC7">
        <w:rPr>
          <w:rFonts w:ascii="Times New Roman" w:eastAsia="Times New Roman" w:hAnsi="Times New Roman" w:cs="Times New Roman"/>
          <w:color w:val="000000"/>
          <w:sz w:val="24"/>
          <w:szCs w:val="24"/>
          <w:lang w:val="ro-MD"/>
        </w:rPr>
        <w:t xml:space="preserve"> OCS în parte, auditul consideră releva</w:t>
      </w:r>
      <w:r w:rsidR="00EB338F">
        <w:rPr>
          <w:rFonts w:ascii="Times New Roman" w:eastAsia="Times New Roman" w:hAnsi="Times New Roman" w:cs="Times New Roman"/>
          <w:color w:val="000000"/>
          <w:sz w:val="24"/>
          <w:szCs w:val="24"/>
          <w:lang w:val="ro-MD"/>
        </w:rPr>
        <w:t>n</w:t>
      </w:r>
      <w:r w:rsidRPr="00483DC7">
        <w:rPr>
          <w:rFonts w:ascii="Times New Roman" w:eastAsia="Times New Roman" w:hAnsi="Times New Roman" w:cs="Times New Roman"/>
          <w:color w:val="000000"/>
          <w:sz w:val="24"/>
          <w:szCs w:val="24"/>
          <w:lang w:val="ro-MD"/>
        </w:rPr>
        <w:t>t</w:t>
      </w:r>
      <w:r w:rsidR="00EB338F">
        <w:rPr>
          <w:rFonts w:ascii="Times New Roman" w:eastAsia="Times New Roman" w:hAnsi="Times New Roman" w:cs="Times New Roman"/>
          <w:color w:val="000000"/>
          <w:sz w:val="24"/>
          <w:szCs w:val="24"/>
          <w:lang w:val="ro-MD"/>
        </w:rPr>
        <w:t>ă</w:t>
      </w:r>
      <w:r w:rsidRPr="00483DC7">
        <w:rPr>
          <w:rFonts w:ascii="Times New Roman" w:eastAsia="Times New Roman" w:hAnsi="Times New Roman" w:cs="Times New Roman"/>
          <w:color w:val="000000"/>
          <w:sz w:val="24"/>
          <w:szCs w:val="24"/>
          <w:lang w:val="ro-MD"/>
        </w:rPr>
        <w:t xml:space="preserve"> preluarea și implementarea celor mai bune practici în acest sens.</w:t>
      </w:r>
    </w:p>
    <w:p w14:paraId="1342ADD4" w14:textId="1B3F2702" w:rsidR="000C6647" w:rsidRPr="00483DC7" w:rsidRDefault="00A87BCE" w:rsidP="000C6647">
      <w:pPr>
        <w:shd w:val="clear" w:color="auto" w:fill="FFFFFF"/>
        <w:spacing w:after="0" w:line="276" w:lineRule="auto"/>
        <w:ind w:firstLine="709"/>
        <w:jc w:val="both"/>
        <w:rPr>
          <w:rFonts w:ascii="Times New Roman" w:eastAsia="Times New Roman" w:hAnsi="Times New Roman" w:cs="Times New Roman"/>
          <w:color w:val="212121"/>
          <w:sz w:val="24"/>
          <w:szCs w:val="24"/>
          <w:lang w:val="ro-MD"/>
        </w:rPr>
      </w:pPr>
      <w:r>
        <w:rPr>
          <w:rFonts w:ascii="Times New Roman" w:eastAsia="Times New Roman" w:hAnsi="Times New Roman" w:cs="Times New Roman"/>
          <w:color w:val="000000"/>
          <w:sz w:val="24"/>
          <w:szCs w:val="24"/>
          <w:lang w:val="ro-MD"/>
        </w:rPr>
        <w:t>C</w:t>
      </w:r>
      <w:r w:rsidR="000C6647" w:rsidRPr="00483DC7">
        <w:rPr>
          <w:rFonts w:ascii="Times New Roman" w:eastAsia="Times New Roman" w:hAnsi="Times New Roman" w:cs="Times New Roman"/>
          <w:color w:val="000000"/>
          <w:sz w:val="24"/>
          <w:szCs w:val="24"/>
          <w:lang w:val="ro-MD"/>
        </w:rPr>
        <w:t>u titlu de bună practică</w:t>
      </w:r>
      <w:r w:rsidR="006C23AF">
        <w:rPr>
          <w:rFonts w:ascii="Times New Roman" w:eastAsia="Times New Roman" w:hAnsi="Times New Roman" w:cs="Times New Roman"/>
          <w:color w:val="000000"/>
          <w:sz w:val="24"/>
          <w:szCs w:val="24"/>
          <w:lang w:val="ro-MD"/>
        </w:rPr>
        <w:t>,</w:t>
      </w:r>
      <w:r w:rsidR="000C6647" w:rsidRPr="00483DC7">
        <w:rPr>
          <w:rFonts w:ascii="Times New Roman" w:eastAsia="Times New Roman" w:hAnsi="Times New Roman" w:cs="Times New Roman"/>
          <w:color w:val="000000"/>
          <w:sz w:val="24"/>
          <w:szCs w:val="24"/>
          <w:lang w:val="ro-MD"/>
        </w:rPr>
        <w:t xml:space="preserve"> </w:t>
      </w:r>
      <w:r>
        <w:rPr>
          <w:rFonts w:ascii="Times New Roman" w:eastAsia="Times New Roman" w:hAnsi="Times New Roman" w:cs="Times New Roman"/>
          <w:color w:val="000000"/>
          <w:sz w:val="24"/>
          <w:szCs w:val="24"/>
          <w:lang w:val="ro-MD"/>
        </w:rPr>
        <w:t xml:space="preserve">auditul relevă că </w:t>
      </w:r>
      <w:r w:rsidR="000C6647" w:rsidRPr="00483DC7">
        <w:rPr>
          <w:rFonts w:ascii="Times New Roman" w:eastAsia="Times New Roman" w:hAnsi="Times New Roman" w:cs="Times New Roman"/>
          <w:color w:val="000000"/>
          <w:sz w:val="24"/>
          <w:szCs w:val="24"/>
          <w:lang w:val="ro-MD"/>
        </w:rPr>
        <w:t xml:space="preserve">recomandarea Comisiei Europene 2005/162/CE, </w:t>
      </w:r>
      <w:r w:rsidR="00652CB7" w:rsidRPr="00483DC7">
        <w:rPr>
          <w:rFonts w:ascii="Times New Roman" w:eastAsia="Times New Roman" w:hAnsi="Times New Roman" w:cs="Times New Roman"/>
          <w:color w:val="000000"/>
          <w:sz w:val="24"/>
          <w:szCs w:val="24"/>
          <w:lang w:val="ro-MD"/>
        </w:rPr>
        <w:t>care a fost</w:t>
      </w:r>
      <w:r w:rsidR="000C6647" w:rsidRPr="00483DC7">
        <w:rPr>
          <w:rFonts w:ascii="Times New Roman" w:eastAsia="Times New Roman" w:hAnsi="Times New Roman" w:cs="Times New Roman"/>
          <w:color w:val="000000"/>
          <w:sz w:val="24"/>
          <w:szCs w:val="24"/>
          <w:lang w:val="ro-MD"/>
        </w:rPr>
        <w:t xml:space="preserve"> emisă în scopul fortificării și îmbunătățirii guvernanței corporative a societăților cotate, în special a consiliilor de administrație sau de supraveghere a acestora, prin care se setează un șir de linii direct</w:t>
      </w:r>
      <w:r w:rsidR="00EB338F">
        <w:rPr>
          <w:rFonts w:ascii="Times New Roman" w:eastAsia="Times New Roman" w:hAnsi="Times New Roman" w:cs="Times New Roman"/>
          <w:color w:val="000000"/>
          <w:sz w:val="24"/>
          <w:szCs w:val="24"/>
          <w:lang w:val="ro-MD"/>
        </w:rPr>
        <w:t>oare</w:t>
      </w:r>
      <w:r w:rsidR="006C23AF">
        <w:rPr>
          <w:rFonts w:ascii="Times New Roman" w:eastAsia="Times New Roman" w:hAnsi="Times New Roman" w:cs="Times New Roman"/>
          <w:color w:val="000000"/>
          <w:sz w:val="24"/>
          <w:szCs w:val="24"/>
          <w:lang w:val="ro-MD"/>
        </w:rPr>
        <w:t xml:space="preserve">, </w:t>
      </w:r>
      <w:r w:rsidR="00EB338F">
        <w:rPr>
          <w:rFonts w:ascii="Times New Roman" w:eastAsia="Times New Roman" w:hAnsi="Times New Roman" w:cs="Times New Roman"/>
          <w:color w:val="000000"/>
          <w:sz w:val="24"/>
          <w:szCs w:val="24"/>
          <w:lang w:val="ro-MD"/>
        </w:rPr>
        <w:t>menite să acopere</w:t>
      </w:r>
      <w:r w:rsidR="000C6647" w:rsidRPr="00483DC7">
        <w:rPr>
          <w:rFonts w:ascii="Times New Roman" w:eastAsia="Times New Roman" w:hAnsi="Times New Roman" w:cs="Times New Roman"/>
          <w:color w:val="000000"/>
          <w:sz w:val="24"/>
          <w:szCs w:val="24"/>
          <w:lang w:val="ro-MD"/>
        </w:rPr>
        <w:t xml:space="preserve"> inclusiv societățile înființate în state terțe. Astfel, pct.8 a</w:t>
      </w:r>
      <w:r w:rsidR="009207E2">
        <w:rPr>
          <w:rFonts w:ascii="Times New Roman" w:eastAsia="Times New Roman" w:hAnsi="Times New Roman" w:cs="Times New Roman"/>
          <w:color w:val="000000"/>
          <w:sz w:val="24"/>
          <w:szCs w:val="24"/>
          <w:lang w:val="ro-MD"/>
        </w:rPr>
        <w:t>l</w:t>
      </w:r>
      <w:r w:rsidR="000C6647" w:rsidRPr="00483DC7">
        <w:rPr>
          <w:rFonts w:ascii="Times New Roman" w:eastAsia="Times New Roman" w:hAnsi="Times New Roman" w:cs="Times New Roman"/>
          <w:color w:val="000000"/>
          <w:sz w:val="24"/>
          <w:szCs w:val="24"/>
          <w:lang w:val="ro-MD"/>
        </w:rPr>
        <w:t xml:space="preserve"> recomandării prevede că anual Consiliul de Supraveghere urmează a fi supus unei evaluări a performanței. Această evaluare ar trebui să includă </w:t>
      </w:r>
      <w:r w:rsidR="00EB338F">
        <w:rPr>
          <w:rFonts w:ascii="Times New Roman" w:eastAsia="Times New Roman" w:hAnsi="Times New Roman" w:cs="Times New Roman"/>
          <w:color w:val="000000"/>
          <w:sz w:val="24"/>
          <w:szCs w:val="24"/>
          <w:lang w:val="ro-MD"/>
        </w:rPr>
        <w:t>și</w:t>
      </w:r>
      <w:r w:rsidR="000C6647" w:rsidRPr="00483DC7">
        <w:rPr>
          <w:rFonts w:ascii="Times New Roman" w:eastAsia="Times New Roman" w:hAnsi="Times New Roman" w:cs="Times New Roman"/>
          <w:color w:val="000000"/>
          <w:sz w:val="24"/>
          <w:szCs w:val="24"/>
          <w:lang w:val="ro-MD"/>
        </w:rPr>
        <w:t xml:space="preserve"> evaluarea eficacității fiecărui membru al OCS precum și </w:t>
      </w:r>
      <w:r w:rsidR="00EB338F">
        <w:rPr>
          <w:rFonts w:ascii="Times New Roman" w:eastAsia="Times New Roman" w:hAnsi="Times New Roman" w:cs="Times New Roman"/>
          <w:color w:val="000000"/>
          <w:sz w:val="24"/>
          <w:szCs w:val="24"/>
          <w:lang w:val="ro-MD"/>
        </w:rPr>
        <w:t xml:space="preserve">a </w:t>
      </w:r>
      <w:r w:rsidR="000C6647" w:rsidRPr="00483DC7">
        <w:rPr>
          <w:rFonts w:ascii="Times New Roman" w:eastAsia="Times New Roman" w:hAnsi="Times New Roman" w:cs="Times New Roman"/>
          <w:color w:val="000000"/>
          <w:sz w:val="24"/>
          <w:szCs w:val="24"/>
          <w:lang w:val="ro-MD"/>
        </w:rPr>
        <w:t>eficacității OCS raportată la obiectivele de performanță setate</w:t>
      </w:r>
      <w:r w:rsidR="006C23AF">
        <w:rPr>
          <w:rFonts w:ascii="Times New Roman" w:eastAsia="Times New Roman" w:hAnsi="Times New Roman" w:cs="Times New Roman"/>
          <w:color w:val="000000"/>
          <w:sz w:val="24"/>
          <w:szCs w:val="24"/>
          <w:lang w:val="ro-MD"/>
        </w:rPr>
        <w:t xml:space="preserve"> acestuia</w:t>
      </w:r>
      <w:r w:rsidR="000C6647" w:rsidRPr="00483DC7">
        <w:rPr>
          <w:rFonts w:ascii="Times New Roman" w:eastAsia="Times New Roman" w:hAnsi="Times New Roman" w:cs="Times New Roman"/>
          <w:color w:val="000000"/>
          <w:sz w:val="24"/>
          <w:szCs w:val="24"/>
          <w:lang w:val="ro-MD"/>
        </w:rPr>
        <w:t>.</w:t>
      </w:r>
    </w:p>
    <w:p w14:paraId="69EDC88F" w14:textId="2A90BBF3" w:rsidR="00A04029" w:rsidRPr="00483DC7" w:rsidRDefault="002352A6" w:rsidP="0089371F">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O altă problemă identificată în cadrul misiunii de audit este</w:t>
      </w:r>
      <w:r w:rsidR="00EE670D" w:rsidRPr="00483DC7">
        <w:rPr>
          <w:rFonts w:ascii="Times New Roman" w:hAnsi="Times New Roman" w:cs="Times New Roman"/>
          <w:color w:val="000000" w:themeColor="text1"/>
          <w:sz w:val="24"/>
          <w:szCs w:val="24"/>
          <w:lang w:val="ro-MD"/>
        </w:rPr>
        <w:t xml:space="preserve"> manifestarea unui interes redus din partea membrilor organelor colegiale de supraveghere în îndeplinirea atribuțiilor delegate, cauzat</w:t>
      </w:r>
      <w:r w:rsidR="00EB338F">
        <w:rPr>
          <w:rFonts w:ascii="Times New Roman" w:hAnsi="Times New Roman" w:cs="Times New Roman"/>
          <w:color w:val="000000" w:themeColor="text1"/>
          <w:sz w:val="24"/>
          <w:szCs w:val="24"/>
          <w:lang w:val="ro-MD"/>
        </w:rPr>
        <w:t>ă</w:t>
      </w:r>
      <w:r w:rsidR="00EE670D" w:rsidRPr="00483DC7">
        <w:rPr>
          <w:rFonts w:ascii="Times New Roman" w:hAnsi="Times New Roman" w:cs="Times New Roman"/>
          <w:color w:val="000000" w:themeColor="text1"/>
          <w:sz w:val="24"/>
          <w:szCs w:val="24"/>
          <w:lang w:val="ro-MD"/>
        </w:rPr>
        <w:t xml:space="preserve"> de prezența unui șir de factori obiectivi și subiectivi, care au la bază componenta atât materială</w:t>
      </w:r>
      <w:r w:rsidR="00EB338F">
        <w:rPr>
          <w:rFonts w:ascii="Times New Roman" w:hAnsi="Times New Roman" w:cs="Times New Roman"/>
          <w:color w:val="000000" w:themeColor="text1"/>
          <w:sz w:val="24"/>
          <w:szCs w:val="24"/>
          <w:lang w:val="ro-MD"/>
        </w:rPr>
        <w:t>,</w:t>
      </w:r>
      <w:r w:rsidR="00EE670D" w:rsidRPr="00483DC7">
        <w:rPr>
          <w:rFonts w:ascii="Times New Roman" w:hAnsi="Times New Roman" w:cs="Times New Roman"/>
          <w:color w:val="000000" w:themeColor="text1"/>
          <w:sz w:val="24"/>
          <w:szCs w:val="24"/>
          <w:lang w:val="ro-MD"/>
        </w:rPr>
        <w:t xml:space="preserve"> cât și nematerială. </w:t>
      </w:r>
    </w:p>
    <w:p w14:paraId="66FDFCAC" w14:textId="7DF0C08B" w:rsidR="00A04029" w:rsidRPr="00483DC7" w:rsidRDefault="00EE670D" w:rsidP="0089371F">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În acest context, este de remarcat faptul că </w:t>
      </w:r>
      <w:r w:rsidR="00786A3B" w:rsidRPr="00483DC7">
        <w:rPr>
          <w:rFonts w:ascii="Times New Roman" w:hAnsi="Times New Roman" w:cs="Times New Roman"/>
          <w:color w:val="000000" w:themeColor="text1"/>
          <w:sz w:val="24"/>
          <w:szCs w:val="24"/>
          <w:lang w:val="ro-MD"/>
        </w:rPr>
        <w:t>în anul</w:t>
      </w:r>
      <w:r w:rsidRPr="00483DC7">
        <w:rPr>
          <w:rFonts w:ascii="Times New Roman" w:hAnsi="Times New Roman" w:cs="Times New Roman"/>
          <w:color w:val="000000" w:themeColor="text1"/>
          <w:sz w:val="24"/>
          <w:szCs w:val="24"/>
          <w:lang w:val="ro-MD"/>
        </w:rPr>
        <w:t xml:space="preserve"> 2022 organele de supraveghere au desfășurat 20 de ședințe, iar în anul 2023 – 24</w:t>
      </w:r>
      <w:r w:rsidR="00EB338F">
        <w:rPr>
          <w:rFonts w:ascii="Times New Roman" w:hAnsi="Times New Roman" w:cs="Times New Roman"/>
          <w:color w:val="000000" w:themeColor="text1"/>
          <w:sz w:val="24"/>
          <w:szCs w:val="24"/>
          <w:lang w:val="ro-MD"/>
        </w:rPr>
        <w:t xml:space="preserve"> de</w:t>
      </w:r>
      <w:r w:rsidRPr="00483DC7">
        <w:rPr>
          <w:rFonts w:ascii="Times New Roman" w:hAnsi="Times New Roman" w:cs="Times New Roman"/>
          <w:color w:val="000000" w:themeColor="text1"/>
          <w:sz w:val="24"/>
          <w:szCs w:val="24"/>
          <w:lang w:val="ro-MD"/>
        </w:rPr>
        <w:t xml:space="preserve"> ședințe, în </w:t>
      </w:r>
      <w:r w:rsidR="001D2539" w:rsidRPr="00483DC7">
        <w:rPr>
          <w:rFonts w:ascii="Times New Roman" w:hAnsi="Times New Roman" w:cs="Times New Roman"/>
          <w:color w:val="000000" w:themeColor="text1"/>
          <w:sz w:val="24"/>
          <w:szCs w:val="24"/>
          <w:lang w:val="ro-MD"/>
        </w:rPr>
        <w:t>4</w:t>
      </w:r>
      <w:r w:rsidRPr="00483DC7">
        <w:rPr>
          <w:rFonts w:ascii="Times New Roman" w:hAnsi="Times New Roman" w:cs="Times New Roman"/>
          <w:color w:val="000000" w:themeColor="text1"/>
          <w:sz w:val="24"/>
          <w:szCs w:val="24"/>
          <w:lang w:val="ro-MD"/>
        </w:rPr>
        <w:t xml:space="preserve"> cazuri din cele 11 analizate (sau </w:t>
      </w:r>
      <w:r w:rsidR="001D2539" w:rsidRPr="00483DC7">
        <w:rPr>
          <w:rFonts w:ascii="Times New Roman" w:hAnsi="Times New Roman" w:cs="Times New Roman"/>
          <w:color w:val="000000" w:themeColor="text1"/>
          <w:sz w:val="24"/>
          <w:szCs w:val="24"/>
          <w:lang w:val="ro-MD"/>
        </w:rPr>
        <w:t>36</w:t>
      </w:r>
      <w:r w:rsidRPr="00483DC7">
        <w:rPr>
          <w:rFonts w:ascii="Times New Roman" w:hAnsi="Times New Roman" w:cs="Times New Roman"/>
          <w:color w:val="000000" w:themeColor="text1"/>
          <w:sz w:val="24"/>
          <w:szCs w:val="24"/>
          <w:lang w:val="ro-MD"/>
        </w:rPr>
        <w:t xml:space="preserve"> %) organele de supraveghere neasigurând</w:t>
      </w:r>
      <w:r w:rsidR="001D2539" w:rsidRPr="00483DC7">
        <w:rPr>
          <w:rFonts w:ascii="Times New Roman" w:hAnsi="Times New Roman" w:cs="Times New Roman"/>
          <w:color w:val="000000" w:themeColor="text1"/>
          <w:sz w:val="24"/>
          <w:szCs w:val="24"/>
          <w:lang w:val="ro-MD"/>
        </w:rPr>
        <w:t xml:space="preserve"> respectarea numărului minim de</w:t>
      </w:r>
      <w:r w:rsidRPr="00483DC7">
        <w:rPr>
          <w:rFonts w:ascii="Times New Roman" w:hAnsi="Times New Roman" w:cs="Times New Roman"/>
          <w:color w:val="000000" w:themeColor="text1"/>
          <w:sz w:val="24"/>
          <w:szCs w:val="24"/>
          <w:lang w:val="ro-MD"/>
        </w:rPr>
        <w:t xml:space="preserve"> ședințe pe an, conform cerinței stipulate în regulament</w:t>
      </w:r>
      <w:r w:rsidR="00AF00E5" w:rsidRPr="00483DC7">
        <w:rPr>
          <w:rFonts w:ascii="Times New Roman" w:hAnsi="Times New Roman" w:cs="Times New Roman"/>
          <w:color w:val="000000" w:themeColor="text1"/>
          <w:sz w:val="24"/>
          <w:szCs w:val="24"/>
          <w:lang w:val="ro-MD"/>
        </w:rPr>
        <w:t xml:space="preserve">ele de funcționare ale UIPFAE. </w:t>
      </w:r>
    </w:p>
    <w:p w14:paraId="0B8CFFBC" w14:textId="63286517" w:rsidR="00370F00" w:rsidRPr="00483DC7" w:rsidRDefault="00A04029" w:rsidP="00370F00">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Potrivit explicațiilor UIPAC, Regulamentul de activitate prevede că Consiliul se convoacă cel puțin 1 dată în an,</w:t>
      </w:r>
      <w:r w:rsidR="00AC5759" w:rsidRPr="00483DC7">
        <w:rPr>
          <w:rFonts w:ascii="Times New Roman" w:hAnsi="Times New Roman" w:cs="Times New Roman"/>
          <w:color w:val="000000" w:themeColor="text1"/>
          <w:sz w:val="24"/>
          <w:szCs w:val="24"/>
          <w:lang w:val="ro-MD"/>
        </w:rPr>
        <w:t xml:space="preserve"> în anul 2022 acesta convocându-se de 2 ori, iar în anul 2023 – 1 dată. </w:t>
      </w:r>
      <w:r w:rsidR="00370F00" w:rsidRPr="00483DC7">
        <w:rPr>
          <w:rFonts w:ascii="Times New Roman" w:hAnsi="Times New Roman" w:cs="Times New Roman"/>
          <w:color w:val="000000" w:themeColor="text1"/>
          <w:sz w:val="24"/>
          <w:szCs w:val="24"/>
          <w:lang w:val="ro-MD"/>
        </w:rPr>
        <w:t>Echipa de audit nu contestă conformitatea respectării cerinței minime stabilite pentru numărul de convocări a</w:t>
      </w:r>
      <w:r w:rsidR="00EB338F">
        <w:rPr>
          <w:rFonts w:ascii="Times New Roman" w:hAnsi="Times New Roman" w:cs="Times New Roman"/>
          <w:color w:val="000000" w:themeColor="text1"/>
          <w:sz w:val="24"/>
          <w:szCs w:val="24"/>
          <w:lang w:val="ro-MD"/>
        </w:rPr>
        <w:t>le</w:t>
      </w:r>
      <w:r w:rsidR="00370F00" w:rsidRPr="00483DC7">
        <w:rPr>
          <w:rFonts w:ascii="Times New Roman" w:hAnsi="Times New Roman" w:cs="Times New Roman"/>
          <w:color w:val="000000" w:themeColor="text1"/>
          <w:sz w:val="24"/>
          <w:szCs w:val="24"/>
          <w:lang w:val="ro-MD"/>
        </w:rPr>
        <w:t xml:space="preserve"> OCS pe an, dar</w:t>
      </w:r>
      <w:r w:rsidR="00EB338F">
        <w:rPr>
          <w:rFonts w:ascii="Times New Roman" w:hAnsi="Times New Roman" w:cs="Times New Roman"/>
          <w:color w:val="000000" w:themeColor="text1"/>
          <w:sz w:val="24"/>
          <w:szCs w:val="24"/>
          <w:lang w:val="ro-MD"/>
        </w:rPr>
        <w:t>,</w:t>
      </w:r>
      <w:r w:rsidR="00370F00" w:rsidRPr="00483DC7">
        <w:rPr>
          <w:rFonts w:ascii="Times New Roman" w:hAnsi="Times New Roman" w:cs="Times New Roman"/>
          <w:color w:val="000000" w:themeColor="text1"/>
          <w:sz w:val="24"/>
          <w:szCs w:val="24"/>
          <w:lang w:val="ro-MD"/>
        </w:rPr>
        <w:t xml:space="preserve"> totodată, atenționează asupra riscului</w:t>
      </w:r>
      <w:r w:rsidR="00CF53BB" w:rsidRPr="00483DC7">
        <w:rPr>
          <w:rFonts w:ascii="Times New Roman" w:hAnsi="Times New Roman" w:cs="Times New Roman"/>
          <w:color w:val="000000" w:themeColor="text1"/>
          <w:sz w:val="24"/>
          <w:szCs w:val="24"/>
          <w:lang w:val="ro-MD"/>
        </w:rPr>
        <w:t xml:space="preserve"> de afectare a</w:t>
      </w:r>
      <w:r w:rsidR="00370F00" w:rsidRPr="00483DC7">
        <w:rPr>
          <w:rFonts w:ascii="Times New Roman" w:hAnsi="Times New Roman" w:cs="Times New Roman"/>
          <w:color w:val="000000" w:themeColor="text1"/>
          <w:sz w:val="24"/>
          <w:szCs w:val="24"/>
          <w:lang w:val="ro-MD"/>
        </w:rPr>
        <w:t xml:space="preserve"> capacității acestui </w:t>
      </w:r>
      <w:r w:rsidRPr="00483DC7">
        <w:rPr>
          <w:rFonts w:ascii="Times New Roman" w:hAnsi="Times New Roman" w:cs="Times New Roman"/>
          <w:color w:val="000000" w:themeColor="text1"/>
          <w:sz w:val="24"/>
          <w:szCs w:val="24"/>
          <w:lang w:val="ro-MD"/>
        </w:rPr>
        <w:t>organ</w:t>
      </w:r>
      <w:r w:rsidR="00370F00" w:rsidRPr="00483DC7">
        <w:rPr>
          <w:rFonts w:ascii="Times New Roman" w:hAnsi="Times New Roman" w:cs="Times New Roman"/>
          <w:color w:val="000000" w:themeColor="text1"/>
          <w:sz w:val="24"/>
          <w:szCs w:val="24"/>
          <w:lang w:val="ro-MD"/>
        </w:rPr>
        <w:t xml:space="preserve"> colegial</w:t>
      </w:r>
      <w:r w:rsidRPr="00483DC7">
        <w:rPr>
          <w:rFonts w:ascii="Times New Roman" w:hAnsi="Times New Roman" w:cs="Times New Roman"/>
          <w:color w:val="000000" w:themeColor="text1"/>
          <w:sz w:val="24"/>
          <w:szCs w:val="24"/>
          <w:lang w:val="ro-MD"/>
        </w:rPr>
        <w:t xml:space="preserve"> de a intra în esența subiectelor</w:t>
      </w:r>
      <w:r w:rsidR="00370F00" w:rsidRPr="00483DC7">
        <w:rPr>
          <w:rFonts w:ascii="Times New Roman" w:hAnsi="Times New Roman" w:cs="Times New Roman"/>
          <w:color w:val="000000" w:themeColor="text1"/>
          <w:sz w:val="24"/>
          <w:szCs w:val="24"/>
          <w:lang w:val="ro-MD"/>
        </w:rPr>
        <w:t xml:space="preserve"> analizate</w:t>
      </w:r>
      <w:r w:rsidRPr="00483DC7">
        <w:rPr>
          <w:rFonts w:ascii="Times New Roman" w:hAnsi="Times New Roman" w:cs="Times New Roman"/>
          <w:color w:val="000000" w:themeColor="text1"/>
          <w:sz w:val="24"/>
          <w:szCs w:val="24"/>
          <w:lang w:val="ro-MD"/>
        </w:rPr>
        <w:t xml:space="preserve"> și </w:t>
      </w:r>
      <w:r w:rsidR="00370F00" w:rsidRPr="00483DC7">
        <w:rPr>
          <w:rFonts w:ascii="Times New Roman" w:hAnsi="Times New Roman" w:cs="Times New Roman"/>
          <w:color w:val="000000" w:themeColor="text1"/>
          <w:sz w:val="24"/>
          <w:szCs w:val="24"/>
          <w:lang w:val="ro-MD"/>
        </w:rPr>
        <w:t xml:space="preserve">de a </w:t>
      </w:r>
      <w:r w:rsidRPr="00483DC7">
        <w:rPr>
          <w:rFonts w:ascii="Times New Roman" w:hAnsi="Times New Roman" w:cs="Times New Roman"/>
          <w:color w:val="000000" w:themeColor="text1"/>
          <w:sz w:val="24"/>
          <w:szCs w:val="24"/>
          <w:lang w:val="ro-MD"/>
        </w:rPr>
        <w:t>contribui</w:t>
      </w:r>
      <w:r w:rsidR="00370F00" w:rsidRPr="00483DC7">
        <w:rPr>
          <w:rFonts w:ascii="Times New Roman" w:hAnsi="Times New Roman" w:cs="Times New Roman"/>
          <w:color w:val="000000" w:themeColor="text1"/>
          <w:sz w:val="24"/>
          <w:szCs w:val="24"/>
          <w:lang w:val="ro-MD"/>
        </w:rPr>
        <w:t xml:space="preserve"> direct</w:t>
      </w:r>
      <w:r w:rsidRPr="00483DC7">
        <w:rPr>
          <w:rFonts w:ascii="Times New Roman" w:hAnsi="Times New Roman" w:cs="Times New Roman"/>
          <w:color w:val="000000" w:themeColor="text1"/>
          <w:sz w:val="24"/>
          <w:szCs w:val="24"/>
          <w:lang w:val="ro-MD"/>
        </w:rPr>
        <w:t xml:space="preserve"> la oferirea soluții</w:t>
      </w:r>
      <w:r w:rsidR="00CF53BB" w:rsidRPr="00483DC7">
        <w:rPr>
          <w:rFonts w:ascii="Times New Roman" w:hAnsi="Times New Roman" w:cs="Times New Roman"/>
          <w:color w:val="000000" w:themeColor="text1"/>
          <w:sz w:val="24"/>
          <w:szCs w:val="24"/>
          <w:lang w:val="ro-MD"/>
        </w:rPr>
        <w:t>lor performante</w:t>
      </w:r>
      <w:r w:rsidRPr="00483DC7">
        <w:rPr>
          <w:rFonts w:ascii="Times New Roman" w:hAnsi="Times New Roman" w:cs="Times New Roman"/>
          <w:color w:val="000000" w:themeColor="text1"/>
          <w:sz w:val="24"/>
          <w:szCs w:val="24"/>
          <w:lang w:val="ro-MD"/>
        </w:rPr>
        <w:t xml:space="preserve"> pentru deciziile strategice al</w:t>
      </w:r>
      <w:r w:rsidR="009207E2">
        <w:rPr>
          <w:rFonts w:ascii="Times New Roman" w:hAnsi="Times New Roman" w:cs="Times New Roman"/>
          <w:color w:val="000000" w:themeColor="text1"/>
          <w:sz w:val="24"/>
          <w:szCs w:val="24"/>
          <w:lang w:val="ro-MD"/>
        </w:rPr>
        <w:t>e</w:t>
      </w:r>
      <w:r w:rsidRPr="00483DC7">
        <w:rPr>
          <w:rFonts w:ascii="Times New Roman" w:hAnsi="Times New Roman" w:cs="Times New Roman"/>
          <w:color w:val="000000" w:themeColor="text1"/>
          <w:sz w:val="24"/>
          <w:szCs w:val="24"/>
          <w:lang w:val="ro-MD"/>
        </w:rPr>
        <w:t xml:space="preserve"> UIPFAE</w:t>
      </w:r>
      <w:r w:rsidR="00370F00" w:rsidRPr="00483DC7">
        <w:rPr>
          <w:rFonts w:ascii="Times New Roman" w:hAnsi="Times New Roman" w:cs="Times New Roman"/>
          <w:color w:val="000000" w:themeColor="text1"/>
          <w:sz w:val="24"/>
          <w:szCs w:val="24"/>
          <w:lang w:val="ro-MD"/>
        </w:rPr>
        <w:t xml:space="preserve">. </w:t>
      </w:r>
      <w:r w:rsidRPr="00483DC7">
        <w:rPr>
          <w:rFonts w:ascii="Times New Roman" w:hAnsi="Times New Roman" w:cs="Times New Roman"/>
          <w:color w:val="000000" w:themeColor="text1"/>
          <w:sz w:val="24"/>
          <w:szCs w:val="24"/>
          <w:lang w:val="ro-MD"/>
        </w:rPr>
        <w:t xml:space="preserve"> </w:t>
      </w:r>
    </w:p>
    <w:p w14:paraId="25820313" w14:textId="693E832F" w:rsidR="001D2539" w:rsidRPr="00483DC7" w:rsidRDefault="00EB338F" w:rsidP="00370F00">
      <w:pPr>
        <w:spacing w:after="0" w:line="276" w:lineRule="auto"/>
        <w:ind w:firstLine="709"/>
        <w:jc w:val="both"/>
        <w:rPr>
          <w:rFonts w:ascii="Times New Roman" w:hAnsi="Times New Roman" w:cs="Times New Roman"/>
          <w:color w:val="000000" w:themeColor="text1"/>
          <w:sz w:val="24"/>
          <w:szCs w:val="24"/>
          <w:lang w:val="ro-MD"/>
        </w:rPr>
      </w:pPr>
      <w:r>
        <w:rPr>
          <w:rFonts w:ascii="Times New Roman" w:hAnsi="Times New Roman" w:cs="Times New Roman"/>
          <w:color w:val="000000" w:themeColor="text1"/>
          <w:sz w:val="24"/>
          <w:szCs w:val="24"/>
          <w:lang w:val="ro-MD"/>
        </w:rPr>
        <w:t>O s</w:t>
      </w:r>
      <w:r w:rsidR="00370F00" w:rsidRPr="00483DC7">
        <w:rPr>
          <w:rFonts w:ascii="Times New Roman" w:hAnsi="Times New Roman" w:cs="Times New Roman"/>
          <w:color w:val="000000" w:themeColor="text1"/>
          <w:sz w:val="24"/>
          <w:szCs w:val="24"/>
          <w:lang w:val="ro-MD"/>
        </w:rPr>
        <w:t xml:space="preserve">ituație similară a fost constatată și în cazul </w:t>
      </w:r>
      <w:r w:rsidR="0089371F" w:rsidRPr="00483DC7">
        <w:rPr>
          <w:rFonts w:ascii="Times New Roman" w:hAnsi="Times New Roman" w:cs="Times New Roman"/>
          <w:color w:val="000000" w:themeColor="text1"/>
          <w:sz w:val="24"/>
          <w:szCs w:val="24"/>
          <w:lang w:val="ro-MD"/>
        </w:rPr>
        <w:t xml:space="preserve">UCIMPA, </w:t>
      </w:r>
      <w:r w:rsidR="00370F00" w:rsidRPr="00483DC7">
        <w:rPr>
          <w:rFonts w:ascii="Times New Roman" w:hAnsi="Times New Roman" w:cs="Times New Roman"/>
          <w:color w:val="000000" w:themeColor="text1"/>
          <w:sz w:val="24"/>
          <w:szCs w:val="24"/>
          <w:lang w:val="ro-MD"/>
        </w:rPr>
        <w:t>care potrivit actului de constituire</w:t>
      </w:r>
      <w:r w:rsidR="0089371F" w:rsidRPr="00483DC7">
        <w:rPr>
          <w:rStyle w:val="FootnoteReference"/>
          <w:rFonts w:ascii="Times New Roman" w:hAnsi="Times New Roman" w:cs="Times New Roman"/>
          <w:color w:val="000000" w:themeColor="text1"/>
          <w:sz w:val="24"/>
          <w:szCs w:val="24"/>
          <w:lang w:val="ro-MD"/>
        </w:rPr>
        <w:footnoteReference w:id="36"/>
      </w:r>
      <w:r w:rsidR="0089371F" w:rsidRPr="00483DC7">
        <w:rPr>
          <w:rFonts w:ascii="Times New Roman" w:hAnsi="Times New Roman" w:cs="Times New Roman"/>
          <w:color w:val="000000" w:themeColor="text1"/>
          <w:sz w:val="24"/>
          <w:szCs w:val="24"/>
          <w:lang w:val="ro-MD"/>
        </w:rPr>
        <w:t xml:space="preserve"> nu </w:t>
      </w:r>
      <w:r w:rsidR="00370F00" w:rsidRPr="00483DC7">
        <w:rPr>
          <w:rFonts w:ascii="Times New Roman" w:hAnsi="Times New Roman" w:cs="Times New Roman"/>
          <w:color w:val="000000" w:themeColor="text1"/>
          <w:sz w:val="24"/>
          <w:szCs w:val="24"/>
          <w:lang w:val="ro-MD"/>
        </w:rPr>
        <w:t>are stabilit</w:t>
      </w:r>
      <w:r w:rsidR="0089371F" w:rsidRPr="00483DC7">
        <w:rPr>
          <w:rFonts w:ascii="Times New Roman" w:hAnsi="Times New Roman" w:cs="Times New Roman"/>
          <w:color w:val="000000" w:themeColor="text1"/>
          <w:sz w:val="24"/>
          <w:szCs w:val="24"/>
          <w:lang w:val="ro-MD"/>
        </w:rPr>
        <w:t xml:space="preserve"> un num</w:t>
      </w:r>
      <w:r w:rsidR="001D2539" w:rsidRPr="00483DC7">
        <w:rPr>
          <w:rFonts w:ascii="Times New Roman" w:hAnsi="Times New Roman" w:cs="Times New Roman"/>
          <w:color w:val="000000" w:themeColor="text1"/>
          <w:sz w:val="24"/>
          <w:szCs w:val="24"/>
          <w:lang w:val="ro-MD"/>
        </w:rPr>
        <w:t>ăr minim de ședințe pe an, consiliul de observatori a</w:t>
      </w:r>
      <w:r w:rsidR="009207E2">
        <w:rPr>
          <w:rFonts w:ascii="Times New Roman" w:hAnsi="Times New Roman" w:cs="Times New Roman"/>
          <w:color w:val="000000" w:themeColor="text1"/>
          <w:sz w:val="24"/>
          <w:szCs w:val="24"/>
          <w:lang w:val="ro-MD"/>
        </w:rPr>
        <w:t>l</w:t>
      </w:r>
      <w:r w:rsidR="001D2539" w:rsidRPr="00483DC7">
        <w:rPr>
          <w:rFonts w:ascii="Times New Roman" w:hAnsi="Times New Roman" w:cs="Times New Roman"/>
          <w:color w:val="000000" w:themeColor="text1"/>
          <w:sz w:val="24"/>
          <w:szCs w:val="24"/>
          <w:lang w:val="ro-MD"/>
        </w:rPr>
        <w:t xml:space="preserve"> UCIMPA</w:t>
      </w:r>
      <w:r w:rsidR="00370F00" w:rsidRPr="00483DC7">
        <w:rPr>
          <w:rFonts w:ascii="Times New Roman" w:hAnsi="Times New Roman" w:cs="Times New Roman"/>
          <w:color w:val="000000" w:themeColor="text1"/>
          <w:sz w:val="24"/>
          <w:szCs w:val="24"/>
          <w:lang w:val="ro-MD"/>
        </w:rPr>
        <w:t xml:space="preserve"> desfășurând în anul 2022 </w:t>
      </w:r>
      <w:r w:rsidR="00F35DF4">
        <w:rPr>
          <w:rFonts w:ascii="Times New Roman" w:hAnsi="Times New Roman" w:cs="Times New Roman"/>
          <w:color w:val="000000" w:themeColor="text1"/>
          <w:sz w:val="24"/>
          <w:szCs w:val="24"/>
          <w:lang w:val="ro-MD"/>
        </w:rPr>
        <w:t>o</w:t>
      </w:r>
      <w:r w:rsidR="001D2539" w:rsidRPr="00483DC7">
        <w:rPr>
          <w:rFonts w:ascii="Times New Roman" w:hAnsi="Times New Roman" w:cs="Times New Roman"/>
          <w:color w:val="000000" w:themeColor="text1"/>
          <w:sz w:val="24"/>
          <w:szCs w:val="24"/>
          <w:lang w:val="ro-MD"/>
        </w:rPr>
        <w:t xml:space="preserve"> ședință, iar anul 2023 – 2 ședințe. </w:t>
      </w:r>
      <w:r w:rsidR="0089371F" w:rsidRPr="00483DC7">
        <w:rPr>
          <w:rFonts w:ascii="Times New Roman" w:hAnsi="Times New Roman" w:cs="Times New Roman"/>
          <w:color w:val="000000" w:themeColor="text1"/>
          <w:sz w:val="24"/>
          <w:szCs w:val="24"/>
          <w:lang w:val="ro-MD"/>
        </w:rPr>
        <w:t xml:space="preserve"> </w:t>
      </w:r>
    </w:p>
    <w:p w14:paraId="1692B142" w14:textId="55CF2E20" w:rsidR="00EE670D" w:rsidRPr="00483DC7" w:rsidRDefault="00EE670D" w:rsidP="0089371F">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Analiza detaliată a activității organelor colegiale de supraveghere a</w:t>
      </w:r>
      <w:r w:rsidR="009207E2">
        <w:rPr>
          <w:rFonts w:ascii="Times New Roman" w:hAnsi="Times New Roman" w:cs="Times New Roman"/>
          <w:color w:val="000000" w:themeColor="text1"/>
          <w:sz w:val="24"/>
          <w:szCs w:val="24"/>
          <w:lang w:val="ro-MD"/>
        </w:rPr>
        <w:t>le</w:t>
      </w:r>
      <w:r w:rsidRPr="00483DC7">
        <w:rPr>
          <w:rFonts w:ascii="Times New Roman" w:hAnsi="Times New Roman" w:cs="Times New Roman"/>
          <w:color w:val="000000" w:themeColor="text1"/>
          <w:sz w:val="24"/>
          <w:szCs w:val="24"/>
          <w:lang w:val="ro-MD"/>
        </w:rPr>
        <w:t xml:space="preserve"> UIPFAE este prezentată în </w:t>
      </w:r>
      <w:r w:rsidRPr="00483DC7">
        <w:rPr>
          <w:rFonts w:ascii="Times New Roman" w:hAnsi="Times New Roman" w:cs="Times New Roman"/>
          <w:b/>
          <w:color w:val="000000" w:themeColor="text1"/>
          <w:sz w:val="24"/>
          <w:szCs w:val="24"/>
          <w:lang w:val="ro-MD"/>
        </w:rPr>
        <w:t>Anexa nr.</w:t>
      </w:r>
      <w:r w:rsidR="00FF191D" w:rsidRPr="00483DC7">
        <w:rPr>
          <w:rFonts w:ascii="Times New Roman" w:hAnsi="Times New Roman" w:cs="Times New Roman"/>
          <w:b/>
          <w:color w:val="000000" w:themeColor="text1"/>
          <w:sz w:val="24"/>
          <w:szCs w:val="24"/>
          <w:lang w:val="ro-MD"/>
        </w:rPr>
        <w:t>4</w:t>
      </w:r>
      <w:r w:rsidRPr="00483DC7">
        <w:rPr>
          <w:rFonts w:ascii="Times New Roman" w:hAnsi="Times New Roman" w:cs="Times New Roman"/>
          <w:b/>
          <w:color w:val="000000" w:themeColor="text1"/>
          <w:sz w:val="24"/>
          <w:szCs w:val="24"/>
          <w:lang w:val="ro-MD"/>
        </w:rPr>
        <w:t xml:space="preserve"> la Raportul de audit</w:t>
      </w:r>
      <w:r w:rsidRPr="00483DC7">
        <w:rPr>
          <w:rFonts w:ascii="Times New Roman" w:hAnsi="Times New Roman" w:cs="Times New Roman"/>
          <w:color w:val="000000" w:themeColor="text1"/>
          <w:sz w:val="24"/>
          <w:szCs w:val="24"/>
          <w:lang w:val="ro-MD"/>
        </w:rPr>
        <w:t>.</w:t>
      </w:r>
    </w:p>
    <w:p w14:paraId="14A6EA00" w14:textId="203395B9" w:rsidR="00A57B7A" w:rsidRPr="00483DC7" w:rsidRDefault="00A57B7A" w:rsidP="002352A6">
      <w:pPr>
        <w:spacing w:after="0" w:line="276" w:lineRule="auto"/>
        <w:ind w:firstLine="709"/>
        <w:jc w:val="both"/>
        <w:rPr>
          <w:rFonts w:ascii="Times New Roman" w:hAnsi="Times New Roman" w:cs="Times New Roman"/>
          <w:b/>
          <w:sz w:val="24"/>
          <w:szCs w:val="24"/>
          <w:lang w:val="ro-MD"/>
        </w:rPr>
      </w:pPr>
      <w:r w:rsidRPr="00483DC7">
        <w:rPr>
          <w:rFonts w:ascii="Times New Roman" w:hAnsi="Times New Roman" w:cs="Times New Roman"/>
          <w:color w:val="000000" w:themeColor="text1"/>
          <w:sz w:val="24"/>
          <w:szCs w:val="24"/>
          <w:lang w:val="ro-MD"/>
        </w:rPr>
        <w:t>În opinia echipei de audit, menținerea</w:t>
      </w:r>
      <w:r w:rsidR="002D44B2" w:rsidRPr="00483DC7">
        <w:rPr>
          <w:rFonts w:ascii="Times New Roman" w:hAnsi="Times New Roman" w:cs="Times New Roman"/>
          <w:color w:val="000000" w:themeColor="text1"/>
          <w:sz w:val="24"/>
          <w:szCs w:val="24"/>
          <w:lang w:val="ro-MD"/>
        </w:rPr>
        <w:t xml:space="preserve"> unei funcționări </w:t>
      </w:r>
      <w:r w:rsidR="006C23AF">
        <w:rPr>
          <w:rFonts w:ascii="Times New Roman" w:hAnsi="Times New Roman" w:cs="Times New Roman"/>
          <w:color w:val="000000" w:themeColor="text1"/>
          <w:sz w:val="24"/>
          <w:szCs w:val="24"/>
          <w:lang w:val="ro-MD"/>
        </w:rPr>
        <w:t xml:space="preserve">și performanțe </w:t>
      </w:r>
      <w:r w:rsidR="002D44B2" w:rsidRPr="00483DC7">
        <w:rPr>
          <w:rFonts w:ascii="Times New Roman" w:hAnsi="Times New Roman" w:cs="Times New Roman"/>
          <w:color w:val="000000" w:themeColor="text1"/>
          <w:sz w:val="24"/>
          <w:szCs w:val="24"/>
          <w:lang w:val="ro-MD"/>
        </w:rPr>
        <w:t>reduse a</w:t>
      </w:r>
      <w:r w:rsidRPr="00483DC7">
        <w:rPr>
          <w:rFonts w:ascii="Times New Roman" w:hAnsi="Times New Roman" w:cs="Times New Roman"/>
          <w:color w:val="000000" w:themeColor="text1"/>
          <w:sz w:val="24"/>
          <w:szCs w:val="24"/>
          <w:lang w:val="ro-MD"/>
        </w:rPr>
        <w:t xml:space="preserve"> organe</w:t>
      </w:r>
      <w:r w:rsidR="002D44B2" w:rsidRPr="00483DC7">
        <w:rPr>
          <w:rFonts w:ascii="Times New Roman" w:hAnsi="Times New Roman" w:cs="Times New Roman"/>
          <w:color w:val="000000" w:themeColor="text1"/>
          <w:sz w:val="24"/>
          <w:szCs w:val="24"/>
          <w:lang w:val="ro-MD"/>
        </w:rPr>
        <w:t>lor</w:t>
      </w:r>
      <w:r w:rsidRPr="00483DC7">
        <w:rPr>
          <w:rFonts w:ascii="Times New Roman" w:hAnsi="Times New Roman" w:cs="Times New Roman"/>
          <w:color w:val="000000" w:themeColor="text1"/>
          <w:sz w:val="24"/>
          <w:szCs w:val="24"/>
          <w:lang w:val="ro-MD"/>
        </w:rPr>
        <w:t xml:space="preserve"> de supraveghere influențează semnificativ performanța activității UIPFAE prin neidentificarea și </w:t>
      </w:r>
      <w:r w:rsidR="00F35DF4">
        <w:rPr>
          <w:rFonts w:ascii="Times New Roman" w:hAnsi="Times New Roman" w:cs="Times New Roman"/>
          <w:color w:val="000000" w:themeColor="text1"/>
          <w:sz w:val="24"/>
          <w:szCs w:val="24"/>
          <w:lang w:val="ro-MD"/>
        </w:rPr>
        <w:t>ne</w:t>
      </w:r>
      <w:r w:rsidRPr="00483DC7">
        <w:rPr>
          <w:rFonts w:ascii="Times New Roman" w:hAnsi="Times New Roman" w:cs="Times New Roman"/>
          <w:color w:val="000000" w:themeColor="text1"/>
          <w:sz w:val="24"/>
          <w:szCs w:val="24"/>
          <w:lang w:val="ro-MD"/>
        </w:rPr>
        <w:t>corectarea problemelor în timp util, creând disfuncționalități în procesele organizaționale. T</w:t>
      </w:r>
      <w:r w:rsidR="00DC65F5" w:rsidRPr="00483DC7">
        <w:rPr>
          <w:rFonts w:ascii="Times New Roman" w:hAnsi="Times New Roman" w:cs="Times New Roman"/>
          <w:color w:val="000000" w:themeColor="text1"/>
          <w:sz w:val="24"/>
          <w:szCs w:val="24"/>
          <w:lang w:val="ro-MD"/>
        </w:rPr>
        <w:t>otodată, lipsa unei supravegheri</w:t>
      </w:r>
      <w:r w:rsidRPr="00483DC7">
        <w:rPr>
          <w:rFonts w:ascii="Times New Roman" w:hAnsi="Times New Roman" w:cs="Times New Roman"/>
          <w:color w:val="000000" w:themeColor="text1"/>
          <w:sz w:val="24"/>
          <w:szCs w:val="24"/>
          <w:lang w:val="ro-MD"/>
        </w:rPr>
        <w:t xml:space="preserve"> adecvate poate duce la dezvoltarea unei culturi organizaționale în care angajații și managementul instituțiilor publice nu se simt res</w:t>
      </w:r>
      <w:r w:rsidR="00DC65F5" w:rsidRPr="00483DC7">
        <w:rPr>
          <w:rFonts w:ascii="Times New Roman" w:hAnsi="Times New Roman" w:cs="Times New Roman"/>
          <w:color w:val="000000" w:themeColor="text1"/>
          <w:sz w:val="24"/>
          <w:szCs w:val="24"/>
          <w:lang w:val="ro-MD"/>
        </w:rPr>
        <w:t>ponsabili pentru acțiunile lor.</w:t>
      </w:r>
    </w:p>
    <w:p w14:paraId="626BBE3E" w14:textId="5E44AA57" w:rsidR="00EE670D" w:rsidRPr="00483DC7" w:rsidRDefault="00EE670D" w:rsidP="00EE670D">
      <w:pPr>
        <w:spacing w:before="240" w:after="0" w:line="276" w:lineRule="auto"/>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 xml:space="preserve">4.1.1.4. Cadrul de reglementare a mandatului atribuit </w:t>
      </w:r>
      <w:r w:rsidR="009207E2">
        <w:rPr>
          <w:rFonts w:ascii="Times New Roman" w:hAnsi="Times New Roman" w:cs="Times New Roman"/>
          <w:b/>
          <w:sz w:val="24"/>
          <w:szCs w:val="24"/>
          <w:lang w:val="ro-MD"/>
        </w:rPr>
        <w:t>d</w:t>
      </w:r>
      <w:r w:rsidRPr="00483DC7">
        <w:rPr>
          <w:rFonts w:ascii="Times New Roman" w:hAnsi="Times New Roman" w:cs="Times New Roman"/>
          <w:b/>
          <w:sz w:val="24"/>
          <w:szCs w:val="24"/>
          <w:lang w:val="ro-MD"/>
        </w:rPr>
        <w:t>irectorilor UIPFAE</w:t>
      </w:r>
      <w:r w:rsidR="00BF5BA6" w:rsidRPr="00483DC7">
        <w:rPr>
          <w:rFonts w:ascii="Times New Roman" w:hAnsi="Times New Roman" w:cs="Times New Roman"/>
          <w:b/>
          <w:sz w:val="24"/>
          <w:szCs w:val="24"/>
          <w:lang w:val="ro-MD"/>
        </w:rPr>
        <w:t>, în unele cazuri,</w:t>
      </w:r>
      <w:r w:rsidRPr="00483DC7">
        <w:rPr>
          <w:rFonts w:ascii="Times New Roman" w:hAnsi="Times New Roman" w:cs="Times New Roman"/>
          <w:b/>
          <w:sz w:val="24"/>
          <w:szCs w:val="24"/>
          <w:lang w:val="ro-MD"/>
        </w:rPr>
        <w:t xml:space="preserve"> nu este suficient și adecvat pentru asigurarea unui management conform și performant al activității UIPFAE.</w:t>
      </w:r>
    </w:p>
    <w:p w14:paraId="5A6E2BDC" w14:textId="291380AD" w:rsidR="00EE670D" w:rsidRPr="00483DC7" w:rsidRDefault="00EE670D" w:rsidP="00C46D1F">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lastRenderedPageBreak/>
        <w:t xml:space="preserve">În scopul asigurării realizării misiunii instituției publice și îndeplinirii funcțiilor delegate către aceasta, activitatea executivă a UIPFAE este condusă de către Director, </w:t>
      </w:r>
      <w:r w:rsidR="00261456" w:rsidRPr="00483DC7">
        <w:rPr>
          <w:rFonts w:ascii="Times New Roman" w:hAnsi="Times New Roman" w:cs="Times New Roman"/>
          <w:color w:val="000000" w:themeColor="text1"/>
          <w:sz w:val="24"/>
          <w:szCs w:val="24"/>
          <w:lang w:val="ro-MD"/>
        </w:rPr>
        <w:t>care este</w:t>
      </w:r>
      <w:r w:rsidRPr="00483DC7">
        <w:rPr>
          <w:rFonts w:ascii="Times New Roman" w:hAnsi="Times New Roman" w:cs="Times New Roman"/>
          <w:color w:val="000000" w:themeColor="text1"/>
          <w:sz w:val="24"/>
          <w:szCs w:val="24"/>
          <w:lang w:val="ro-MD"/>
        </w:rPr>
        <w:t xml:space="preserve"> responsabil de organizarea, coordonarea, îndrumarea și controlul activităților operaționale.</w:t>
      </w:r>
    </w:p>
    <w:p w14:paraId="4F9580DF" w14:textId="344F97F8" w:rsidR="0066725C" w:rsidRPr="00483DC7" w:rsidRDefault="00EE670D" w:rsidP="00F26B00">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Mandatul Directorului, în opinia auditului, trebuie să fie bine structurat, aliniat la bugetul instituției și </w:t>
      </w:r>
      <w:r w:rsidR="004D1333" w:rsidRPr="00483DC7">
        <w:rPr>
          <w:rFonts w:ascii="Times New Roman" w:hAnsi="Times New Roman" w:cs="Times New Roman"/>
          <w:color w:val="000000" w:themeColor="text1"/>
          <w:sz w:val="24"/>
          <w:szCs w:val="24"/>
          <w:lang w:val="ro-MD"/>
        </w:rPr>
        <w:t>încadrat</w:t>
      </w:r>
      <w:r w:rsidRPr="00483DC7">
        <w:rPr>
          <w:rFonts w:ascii="Times New Roman" w:hAnsi="Times New Roman" w:cs="Times New Roman"/>
          <w:color w:val="000000" w:themeColor="text1"/>
          <w:sz w:val="24"/>
          <w:szCs w:val="24"/>
          <w:lang w:val="ro-MD"/>
        </w:rPr>
        <w:t xml:space="preserve"> în timp. Definirea clară a responsabilităților și așteptărilor față de Director permite </w:t>
      </w:r>
      <w:r w:rsidR="00F35DF4">
        <w:rPr>
          <w:rFonts w:ascii="Times New Roman" w:hAnsi="Times New Roman" w:cs="Times New Roman"/>
          <w:color w:val="000000" w:themeColor="text1"/>
          <w:sz w:val="24"/>
          <w:szCs w:val="24"/>
          <w:lang w:val="ro-MD"/>
        </w:rPr>
        <w:t>ajustarea viziunii proprii a</w:t>
      </w:r>
      <w:r w:rsidRPr="00483DC7">
        <w:rPr>
          <w:rFonts w:ascii="Times New Roman" w:hAnsi="Times New Roman" w:cs="Times New Roman"/>
          <w:color w:val="000000" w:themeColor="text1"/>
          <w:sz w:val="24"/>
          <w:szCs w:val="24"/>
          <w:lang w:val="ro-MD"/>
        </w:rPr>
        <w:t xml:space="preserve"> titularului funcției cu perspectivele planificate ale instituției pe care o va reprezenta. În același timp, bugetul instituției dictează limitele financiare în care Directorul trebuie să opereze, astfel încât să poată planifica și aloca resursele în mod optim pentru atingerea obiectivelor. Totodată, </w:t>
      </w:r>
      <w:r w:rsidR="004D1333" w:rsidRPr="00483DC7">
        <w:rPr>
          <w:rFonts w:ascii="Times New Roman" w:hAnsi="Times New Roman" w:cs="Times New Roman"/>
          <w:color w:val="000000" w:themeColor="text1"/>
          <w:sz w:val="24"/>
          <w:szCs w:val="24"/>
          <w:lang w:val="ro-MD"/>
        </w:rPr>
        <w:t>încadrarea</w:t>
      </w:r>
      <w:r w:rsidRPr="00483DC7">
        <w:rPr>
          <w:rFonts w:ascii="Times New Roman" w:hAnsi="Times New Roman" w:cs="Times New Roman"/>
          <w:color w:val="000000" w:themeColor="text1"/>
          <w:sz w:val="24"/>
          <w:szCs w:val="24"/>
          <w:lang w:val="ro-MD"/>
        </w:rPr>
        <w:t xml:space="preserve"> în timp a mandatului Directorului, pe de o parte, încurajează eficiența și determinarea titularului de a se manifesta în intervalul specific de timp oferit, iar pe de altă parte, permite reînnoirea periodică a conducerii instituției, </w:t>
      </w:r>
      <w:r w:rsidR="0066725C" w:rsidRPr="00483DC7">
        <w:rPr>
          <w:rFonts w:ascii="Times New Roman" w:hAnsi="Times New Roman" w:cs="Times New Roman"/>
          <w:color w:val="000000" w:themeColor="text1"/>
          <w:sz w:val="24"/>
          <w:szCs w:val="24"/>
          <w:lang w:val="ro-MD"/>
        </w:rPr>
        <w:t>care aduce perspective noi de dezvoltare și previne stagnarea ac</w:t>
      </w:r>
      <w:r w:rsidR="00F26B00" w:rsidRPr="00483DC7">
        <w:rPr>
          <w:rFonts w:ascii="Times New Roman" w:hAnsi="Times New Roman" w:cs="Times New Roman"/>
          <w:color w:val="000000" w:themeColor="text1"/>
          <w:sz w:val="24"/>
          <w:szCs w:val="24"/>
          <w:lang w:val="ro-MD"/>
        </w:rPr>
        <w:t xml:space="preserve">tivității instituției publice. </w:t>
      </w:r>
    </w:p>
    <w:p w14:paraId="036A0F66" w14:textId="3BC029DA" w:rsidR="006C23AF" w:rsidRDefault="003F2FB8" w:rsidP="00056FB3">
      <w:pPr>
        <w:spacing w:after="0" w:line="276" w:lineRule="auto"/>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Funcția de director al</w:t>
      </w:r>
      <w:r w:rsidR="00B4017C" w:rsidRPr="00483DC7">
        <w:rPr>
          <w:rFonts w:ascii="Times New Roman" w:hAnsi="Times New Roman" w:cs="Times New Roman"/>
          <w:sz w:val="24"/>
          <w:szCs w:val="24"/>
          <w:lang w:val="ro-MD"/>
        </w:rPr>
        <w:t xml:space="preserve"> UIPFAE, spre deosebire de alte funcții de conducere similare, cum ar fi demnitarii de stat și funcțiile publice de conducere</w:t>
      </w:r>
      <w:r w:rsidR="00B4017C" w:rsidRPr="00483DC7">
        <w:rPr>
          <w:rStyle w:val="FootnoteReference"/>
          <w:rFonts w:ascii="Times New Roman" w:hAnsi="Times New Roman" w:cs="Times New Roman"/>
          <w:sz w:val="24"/>
          <w:szCs w:val="24"/>
          <w:lang w:val="ro-MD"/>
        </w:rPr>
        <w:footnoteReference w:id="37"/>
      </w:r>
      <w:r w:rsidR="00B4017C" w:rsidRPr="00483DC7">
        <w:rPr>
          <w:rFonts w:ascii="Times New Roman" w:hAnsi="Times New Roman" w:cs="Times New Roman"/>
          <w:sz w:val="24"/>
          <w:szCs w:val="24"/>
          <w:lang w:val="ro-MD"/>
        </w:rPr>
        <w:t xml:space="preserve">, nu au atribuții și sarcini instituționalizate ce vizează planificarea și implementarea obiectivelor strategice, programelor de dezvoltare pe termen mediu și planurilor anuale de activitate ale instituției, precum și responsabilități ce țin de asigurarea evaluării periodice a performanțelor individuale ale angajaților din subordine. </w:t>
      </w:r>
      <w:r w:rsidR="00F35DF4">
        <w:rPr>
          <w:rFonts w:ascii="Times New Roman" w:hAnsi="Times New Roman" w:cs="Times New Roman"/>
          <w:sz w:val="24"/>
          <w:szCs w:val="24"/>
          <w:lang w:val="ro-MD"/>
        </w:rPr>
        <w:t>Cu toate acestea</w:t>
      </w:r>
      <w:r w:rsidR="00766CE2" w:rsidRPr="00483DC7">
        <w:rPr>
          <w:rFonts w:ascii="Times New Roman" w:hAnsi="Times New Roman" w:cs="Times New Roman"/>
          <w:sz w:val="24"/>
          <w:szCs w:val="24"/>
          <w:lang w:val="ro-MD"/>
        </w:rPr>
        <w:t xml:space="preserve">, Directorii UIPFAE aprobă anual Planuri de activitate și asigură evaluarea performanțelor individuale ale angajaților. </w:t>
      </w:r>
    </w:p>
    <w:p w14:paraId="357DBEB5" w14:textId="4CBDC339" w:rsidR="00B4017C" w:rsidRPr="00483DC7" w:rsidRDefault="00B4017C" w:rsidP="00056FB3">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opinia auditului, documentarea</w:t>
      </w:r>
      <w:r w:rsidR="006C23AF">
        <w:rPr>
          <w:rFonts w:ascii="Times New Roman" w:hAnsi="Times New Roman" w:cs="Times New Roman"/>
          <w:sz w:val="24"/>
          <w:szCs w:val="24"/>
          <w:lang w:val="ro-MD"/>
        </w:rPr>
        <w:t xml:space="preserve"> și instituționalizarea</w:t>
      </w:r>
      <w:r w:rsidRPr="00483DC7">
        <w:rPr>
          <w:rFonts w:ascii="Times New Roman" w:hAnsi="Times New Roman" w:cs="Times New Roman"/>
          <w:sz w:val="24"/>
          <w:szCs w:val="24"/>
          <w:lang w:val="ro-MD"/>
        </w:rPr>
        <w:t xml:space="preserve"> tuturor sarcinilor și atribuțiilor Directorilor UIPFAE </w:t>
      </w:r>
      <w:r w:rsidR="006C23AF">
        <w:rPr>
          <w:rFonts w:ascii="Times New Roman" w:hAnsi="Times New Roman" w:cs="Times New Roman"/>
          <w:sz w:val="24"/>
          <w:szCs w:val="24"/>
          <w:lang w:val="ro-MD"/>
        </w:rPr>
        <w:t xml:space="preserve">va </w:t>
      </w:r>
      <w:r w:rsidRPr="00483DC7">
        <w:rPr>
          <w:rFonts w:ascii="Times New Roman" w:hAnsi="Times New Roman" w:cs="Times New Roman"/>
          <w:sz w:val="24"/>
          <w:szCs w:val="24"/>
          <w:lang w:val="ro-MD"/>
        </w:rPr>
        <w:t>contribui direct la crearea unui mediu de lucru constructiv și motivant, orientat spre îmbunătățirea constantă a performanței atât la nivel instituțional</w:t>
      </w:r>
      <w:r w:rsidR="00F35DF4">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cât și individual.</w:t>
      </w:r>
    </w:p>
    <w:p w14:paraId="7E012300" w14:textId="0DAA29C5" w:rsidR="00E95F46" w:rsidRPr="00483DC7" w:rsidRDefault="00B4017C" w:rsidP="0005632B">
      <w:pPr>
        <w:spacing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Totodată, </w:t>
      </w:r>
      <w:r w:rsidR="009A7210" w:rsidRPr="00483DC7">
        <w:rPr>
          <w:rFonts w:ascii="Times New Roman" w:hAnsi="Times New Roman" w:cs="Times New Roman"/>
          <w:color w:val="000000" w:themeColor="text1"/>
          <w:sz w:val="24"/>
          <w:szCs w:val="24"/>
          <w:lang w:val="ro-MD"/>
        </w:rPr>
        <w:t>auditul a stabilit</w:t>
      </w:r>
      <w:r w:rsidR="00E13A12" w:rsidRPr="00483DC7">
        <w:rPr>
          <w:rFonts w:ascii="Times New Roman" w:hAnsi="Times New Roman" w:cs="Times New Roman"/>
          <w:color w:val="000000" w:themeColor="text1"/>
          <w:sz w:val="24"/>
          <w:szCs w:val="24"/>
          <w:lang w:val="ro-MD"/>
        </w:rPr>
        <w:t xml:space="preserve"> că</w:t>
      </w:r>
      <w:r w:rsidR="00F35DF4">
        <w:rPr>
          <w:rFonts w:ascii="Times New Roman" w:hAnsi="Times New Roman" w:cs="Times New Roman"/>
          <w:color w:val="000000" w:themeColor="text1"/>
          <w:sz w:val="24"/>
          <w:szCs w:val="24"/>
          <w:lang w:val="ro-MD"/>
        </w:rPr>
        <w:t>,</w:t>
      </w:r>
      <w:r w:rsidR="00E13A12" w:rsidRPr="00483DC7">
        <w:rPr>
          <w:rFonts w:ascii="Times New Roman" w:hAnsi="Times New Roman" w:cs="Times New Roman"/>
          <w:color w:val="000000" w:themeColor="text1"/>
          <w:sz w:val="24"/>
          <w:szCs w:val="24"/>
          <w:lang w:val="ro-MD"/>
        </w:rPr>
        <w:t xml:space="preserve"> în </w:t>
      </w:r>
      <w:r w:rsidR="006F33BD" w:rsidRPr="00483DC7">
        <w:rPr>
          <w:rFonts w:ascii="Times New Roman" w:hAnsi="Times New Roman" w:cs="Times New Roman"/>
          <w:color w:val="000000" w:themeColor="text1"/>
          <w:sz w:val="24"/>
          <w:szCs w:val="24"/>
          <w:lang w:val="ro-MD"/>
        </w:rPr>
        <w:t>unele</w:t>
      </w:r>
      <w:r w:rsidR="00E13A12" w:rsidRPr="00483DC7">
        <w:rPr>
          <w:rFonts w:ascii="Times New Roman" w:hAnsi="Times New Roman" w:cs="Times New Roman"/>
          <w:color w:val="000000" w:themeColor="text1"/>
          <w:sz w:val="24"/>
          <w:szCs w:val="24"/>
          <w:lang w:val="ro-MD"/>
        </w:rPr>
        <w:t xml:space="preserve"> cazuri, actele de constituire nu reglementează expres </w:t>
      </w:r>
      <w:r w:rsidR="008E5DF5" w:rsidRPr="00483DC7">
        <w:rPr>
          <w:rFonts w:ascii="Times New Roman" w:hAnsi="Times New Roman" w:cs="Times New Roman"/>
          <w:color w:val="000000" w:themeColor="text1"/>
          <w:sz w:val="24"/>
          <w:szCs w:val="24"/>
          <w:lang w:val="ro-MD"/>
        </w:rPr>
        <w:t>cerințele de eficiență</w:t>
      </w:r>
      <w:r w:rsidR="00E95F46" w:rsidRPr="00483DC7">
        <w:rPr>
          <w:rFonts w:ascii="Times New Roman" w:hAnsi="Times New Roman" w:cs="Times New Roman"/>
          <w:color w:val="000000" w:themeColor="text1"/>
          <w:sz w:val="24"/>
          <w:szCs w:val="24"/>
          <w:lang w:val="ro-MD"/>
        </w:rPr>
        <w:t xml:space="preserve"> aferente mandatului</w:t>
      </w:r>
      <w:r w:rsidR="00E13A12" w:rsidRPr="00483DC7">
        <w:rPr>
          <w:rFonts w:ascii="Times New Roman" w:hAnsi="Times New Roman" w:cs="Times New Roman"/>
          <w:color w:val="000000" w:themeColor="text1"/>
          <w:sz w:val="24"/>
          <w:szCs w:val="24"/>
          <w:lang w:val="ro-MD"/>
        </w:rPr>
        <w:t xml:space="preserve"> Directorilor UIPFAE</w:t>
      </w:r>
      <w:r w:rsidR="00E95F46" w:rsidRPr="00483DC7">
        <w:rPr>
          <w:rFonts w:ascii="Times New Roman" w:hAnsi="Times New Roman" w:cs="Times New Roman"/>
          <w:color w:val="000000" w:themeColor="text1"/>
          <w:sz w:val="24"/>
          <w:szCs w:val="24"/>
          <w:lang w:val="ro-MD"/>
        </w:rPr>
        <w:t xml:space="preserve"> (</w:t>
      </w:r>
      <w:r w:rsidR="008E49A5" w:rsidRPr="00483DC7">
        <w:rPr>
          <w:rFonts w:ascii="Times New Roman" w:hAnsi="Times New Roman" w:cs="Times New Roman"/>
          <w:color w:val="000000" w:themeColor="text1"/>
          <w:sz w:val="24"/>
          <w:szCs w:val="24"/>
          <w:lang w:val="ro-MD"/>
        </w:rPr>
        <w:t>vezi</w:t>
      </w:r>
      <w:r w:rsidR="00E95F46" w:rsidRPr="00483DC7">
        <w:rPr>
          <w:rFonts w:ascii="Times New Roman" w:hAnsi="Times New Roman" w:cs="Times New Roman"/>
          <w:color w:val="000000" w:themeColor="text1"/>
          <w:sz w:val="24"/>
          <w:szCs w:val="24"/>
          <w:lang w:val="ro-MD"/>
        </w:rPr>
        <w:t xml:space="preserve"> </w:t>
      </w:r>
      <w:r w:rsidR="00E95F46" w:rsidRPr="00483DC7">
        <w:rPr>
          <w:rFonts w:ascii="Times New Roman" w:hAnsi="Times New Roman" w:cs="Times New Roman"/>
          <w:b/>
          <w:color w:val="000000" w:themeColor="text1"/>
          <w:sz w:val="24"/>
          <w:szCs w:val="24"/>
          <w:lang w:val="ro-MD"/>
        </w:rPr>
        <w:t>Tabelul nr.3</w:t>
      </w:r>
      <w:r w:rsidR="00E95F46" w:rsidRPr="00483DC7">
        <w:rPr>
          <w:rFonts w:ascii="Times New Roman" w:hAnsi="Times New Roman" w:cs="Times New Roman"/>
          <w:color w:val="000000" w:themeColor="text1"/>
          <w:sz w:val="24"/>
          <w:szCs w:val="24"/>
          <w:lang w:val="ro-MD"/>
        </w:rPr>
        <w:t>)</w:t>
      </w:r>
      <w:r w:rsidR="005B4ED6" w:rsidRPr="00483DC7">
        <w:rPr>
          <w:rFonts w:ascii="Times New Roman" w:hAnsi="Times New Roman" w:cs="Times New Roman"/>
          <w:color w:val="000000" w:themeColor="text1"/>
          <w:sz w:val="24"/>
          <w:szCs w:val="24"/>
          <w:lang w:val="ro-MD"/>
        </w:rPr>
        <w:t xml:space="preserve">, generând riscul de netransparență la numirea și revocarea titularilor funcției respective. </w:t>
      </w:r>
      <w:r w:rsidR="00786A3B" w:rsidRPr="00483DC7">
        <w:rPr>
          <w:rFonts w:ascii="Times New Roman" w:hAnsi="Times New Roman" w:cs="Times New Roman"/>
          <w:color w:val="000000" w:themeColor="text1"/>
          <w:sz w:val="24"/>
          <w:szCs w:val="24"/>
          <w:lang w:val="ro-MD"/>
        </w:rPr>
        <w:t>Mai mult decât atât, î</w:t>
      </w:r>
      <w:r w:rsidR="005B4ED6" w:rsidRPr="00483DC7">
        <w:rPr>
          <w:rFonts w:ascii="Times New Roman" w:hAnsi="Times New Roman" w:cs="Times New Roman"/>
          <w:color w:val="000000" w:themeColor="text1"/>
          <w:sz w:val="24"/>
          <w:szCs w:val="24"/>
          <w:lang w:val="ro-MD"/>
        </w:rPr>
        <w:t>n situația creată, cerințele de eficiență sunt stabilite în baza contractel</w:t>
      </w:r>
      <w:r w:rsidR="004E7127" w:rsidRPr="00483DC7">
        <w:rPr>
          <w:rFonts w:ascii="Times New Roman" w:hAnsi="Times New Roman" w:cs="Times New Roman"/>
          <w:color w:val="000000" w:themeColor="text1"/>
          <w:sz w:val="24"/>
          <w:szCs w:val="24"/>
          <w:lang w:val="ro-MD"/>
        </w:rPr>
        <w:t xml:space="preserve">or individuale de muncă sau chiar </w:t>
      </w:r>
      <w:r w:rsidR="005B4ED6" w:rsidRPr="00483DC7">
        <w:rPr>
          <w:rFonts w:ascii="Times New Roman" w:hAnsi="Times New Roman" w:cs="Times New Roman"/>
          <w:color w:val="000000" w:themeColor="text1"/>
          <w:sz w:val="24"/>
          <w:szCs w:val="24"/>
          <w:lang w:val="ro-MD"/>
        </w:rPr>
        <w:t xml:space="preserve">de consultanță, </w:t>
      </w:r>
      <w:r w:rsidR="00786A3B" w:rsidRPr="00483DC7">
        <w:rPr>
          <w:rFonts w:ascii="Times New Roman" w:hAnsi="Times New Roman" w:cs="Times New Roman"/>
          <w:color w:val="000000" w:themeColor="text1"/>
          <w:sz w:val="24"/>
          <w:szCs w:val="24"/>
          <w:lang w:val="ro-MD"/>
        </w:rPr>
        <w:t>încheiate între fondator și Directorul UIPFAE, ceea ce nu oferă posibilitate</w:t>
      </w:r>
      <w:r w:rsidR="00F35DF4">
        <w:rPr>
          <w:rFonts w:ascii="Times New Roman" w:hAnsi="Times New Roman" w:cs="Times New Roman"/>
          <w:color w:val="000000" w:themeColor="text1"/>
          <w:sz w:val="24"/>
          <w:szCs w:val="24"/>
          <w:lang w:val="ro-MD"/>
        </w:rPr>
        <w:t>a</w:t>
      </w:r>
      <w:r w:rsidR="00786A3B" w:rsidRPr="00483DC7">
        <w:rPr>
          <w:rFonts w:ascii="Times New Roman" w:hAnsi="Times New Roman" w:cs="Times New Roman"/>
          <w:color w:val="000000" w:themeColor="text1"/>
          <w:sz w:val="24"/>
          <w:szCs w:val="24"/>
          <w:lang w:val="ro-MD"/>
        </w:rPr>
        <w:t xml:space="preserve"> de monitorizare obiectivă a performanței activității acestora, în baza unor criterii unificate, pe tot segmentul, la nivel de </w:t>
      </w:r>
      <w:r w:rsidR="006C23AF">
        <w:rPr>
          <w:rFonts w:ascii="Times New Roman" w:hAnsi="Times New Roman" w:cs="Times New Roman"/>
          <w:color w:val="000000" w:themeColor="text1"/>
          <w:sz w:val="24"/>
          <w:szCs w:val="24"/>
          <w:lang w:val="ro-MD"/>
        </w:rPr>
        <w:t>C</w:t>
      </w:r>
      <w:r w:rsidR="00786A3B" w:rsidRPr="00483DC7">
        <w:rPr>
          <w:rFonts w:ascii="Times New Roman" w:hAnsi="Times New Roman" w:cs="Times New Roman"/>
          <w:color w:val="000000" w:themeColor="text1"/>
          <w:sz w:val="24"/>
          <w:szCs w:val="24"/>
          <w:lang w:val="ro-MD"/>
        </w:rPr>
        <w:t xml:space="preserve">oordonator </w:t>
      </w:r>
      <w:r w:rsidR="006C23AF">
        <w:rPr>
          <w:rFonts w:ascii="Times New Roman" w:hAnsi="Times New Roman" w:cs="Times New Roman"/>
          <w:color w:val="000000" w:themeColor="text1"/>
          <w:sz w:val="24"/>
          <w:szCs w:val="24"/>
          <w:lang w:val="ro-MD"/>
        </w:rPr>
        <w:t>N</w:t>
      </w:r>
      <w:r w:rsidR="00786A3B" w:rsidRPr="00483DC7">
        <w:rPr>
          <w:rFonts w:ascii="Times New Roman" w:hAnsi="Times New Roman" w:cs="Times New Roman"/>
          <w:color w:val="000000" w:themeColor="text1"/>
          <w:sz w:val="24"/>
          <w:szCs w:val="24"/>
          <w:lang w:val="ro-MD"/>
        </w:rPr>
        <w:t>ațional al asistenței externe.</w:t>
      </w:r>
    </w:p>
    <w:tbl>
      <w:tblPr>
        <w:tblStyle w:val="TableGrid"/>
        <w:tblW w:w="9351" w:type="dxa"/>
        <w:tblLayout w:type="fixed"/>
        <w:tblLook w:val="04A0" w:firstRow="1" w:lastRow="0" w:firstColumn="1" w:lastColumn="0" w:noHBand="0" w:noVBand="1"/>
      </w:tblPr>
      <w:tblGrid>
        <w:gridCol w:w="2547"/>
        <w:gridCol w:w="567"/>
        <w:gridCol w:w="567"/>
        <w:gridCol w:w="567"/>
        <w:gridCol w:w="567"/>
        <w:gridCol w:w="567"/>
        <w:gridCol w:w="567"/>
        <w:gridCol w:w="567"/>
        <w:gridCol w:w="567"/>
        <w:gridCol w:w="567"/>
        <w:gridCol w:w="567"/>
        <w:gridCol w:w="567"/>
        <w:gridCol w:w="567"/>
      </w:tblGrid>
      <w:tr w:rsidR="00E95F46" w:rsidRPr="00483DC7" w14:paraId="34CB9C3D" w14:textId="77777777" w:rsidTr="00E95F46">
        <w:trPr>
          <w:cantSplit/>
          <w:trHeight w:val="424"/>
        </w:trPr>
        <w:tc>
          <w:tcPr>
            <w:tcW w:w="9351" w:type="dxa"/>
            <w:gridSpan w:val="13"/>
            <w:tcBorders>
              <w:top w:val="single" w:sz="4" w:space="0" w:color="FFFFFF"/>
              <w:left w:val="single" w:sz="4" w:space="0" w:color="FFFFFF"/>
              <w:right w:val="single" w:sz="4" w:space="0" w:color="FFFFFF"/>
            </w:tcBorders>
            <w:shd w:val="clear" w:color="auto" w:fill="FFFFFF" w:themeFill="background1"/>
            <w:vAlign w:val="center"/>
          </w:tcPr>
          <w:p w14:paraId="0CA8B33C" w14:textId="77777777" w:rsidR="00E95F46" w:rsidRPr="00483DC7" w:rsidRDefault="00E95F46" w:rsidP="00E95F46">
            <w:pPr>
              <w:spacing w:line="276" w:lineRule="auto"/>
              <w:ind w:left="113"/>
              <w:jc w:val="right"/>
              <w:rPr>
                <w:rFonts w:ascii="Times New Roman" w:hAnsi="Times New Roman" w:cs="Times New Roman"/>
                <w:b/>
                <w:sz w:val="20"/>
                <w:szCs w:val="20"/>
                <w:lang w:val="ro-MD"/>
              </w:rPr>
            </w:pPr>
            <w:r w:rsidRPr="00483DC7">
              <w:rPr>
                <w:rFonts w:ascii="Times New Roman" w:hAnsi="Times New Roman" w:cs="Times New Roman"/>
                <w:color w:val="000000" w:themeColor="text1"/>
                <w:sz w:val="24"/>
                <w:szCs w:val="24"/>
                <w:lang w:val="ro-MD"/>
              </w:rPr>
              <w:t xml:space="preserve"> </w:t>
            </w:r>
            <w:r w:rsidRPr="00483DC7">
              <w:rPr>
                <w:rFonts w:ascii="Times New Roman" w:hAnsi="Times New Roman" w:cs="Times New Roman"/>
                <w:b/>
                <w:sz w:val="20"/>
                <w:szCs w:val="20"/>
                <w:lang w:val="ro-MD"/>
              </w:rPr>
              <w:t>Tabelul nr.3</w:t>
            </w:r>
          </w:p>
          <w:p w14:paraId="3EF0BE91" w14:textId="31669FD8" w:rsidR="00E95F46" w:rsidRPr="00483DC7" w:rsidRDefault="00E95F46" w:rsidP="00B43BD4">
            <w:pPr>
              <w:spacing w:line="276" w:lineRule="auto"/>
              <w:ind w:left="113" w:right="113"/>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Analiza </w:t>
            </w:r>
            <w:r w:rsidR="00B43BD4" w:rsidRPr="00483DC7">
              <w:rPr>
                <w:rFonts w:ascii="Times New Roman" w:hAnsi="Times New Roman" w:cs="Times New Roman"/>
                <w:b/>
                <w:sz w:val="20"/>
                <w:szCs w:val="20"/>
                <w:lang w:val="ro-MD"/>
              </w:rPr>
              <w:t xml:space="preserve">cerințelor </w:t>
            </w:r>
            <w:r w:rsidRPr="00483DC7">
              <w:rPr>
                <w:rFonts w:ascii="Times New Roman" w:hAnsi="Times New Roman" w:cs="Times New Roman"/>
                <w:b/>
                <w:sz w:val="20"/>
                <w:szCs w:val="20"/>
                <w:lang w:val="ro-MD"/>
              </w:rPr>
              <w:t>aferente mandatului Directorului UIPFAE</w:t>
            </w:r>
          </w:p>
        </w:tc>
      </w:tr>
      <w:tr w:rsidR="00E95F46" w:rsidRPr="00483DC7" w14:paraId="5D76CAEA" w14:textId="77777777" w:rsidTr="0005632B">
        <w:trPr>
          <w:cantSplit/>
          <w:trHeight w:val="1505"/>
        </w:trPr>
        <w:tc>
          <w:tcPr>
            <w:tcW w:w="2547" w:type="dxa"/>
            <w:shd w:val="clear" w:color="auto" w:fill="DEEAF6" w:themeFill="accent1" w:themeFillTint="33"/>
            <w:vAlign w:val="center"/>
          </w:tcPr>
          <w:p w14:paraId="0235A8A8" w14:textId="77777777" w:rsidR="00E95F46" w:rsidRPr="00483DC7" w:rsidRDefault="00E95F46" w:rsidP="00E95F46">
            <w:pPr>
              <w:spacing w:line="276" w:lineRule="auto"/>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Indicator</w:t>
            </w:r>
          </w:p>
        </w:tc>
        <w:tc>
          <w:tcPr>
            <w:tcW w:w="567" w:type="dxa"/>
            <w:shd w:val="clear" w:color="auto" w:fill="DEEAF6" w:themeFill="accent1" w:themeFillTint="33"/>
            <w:textDirection w:val="btLr"/>
            <w:vAlign w:val="center"/>
          </w:tcPr>
          <w:p w14:paraId="5F93D600"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ADMA</w:t>
            </w:r>
          </w:p>
        </w:tc>
        <w:tc>
          <w:tcPr>
            <w:tcW w:w="567" w:type="dxa"/>
            <w:shd w:val="clear" w:color="auto" w:fill="DEEAF6" w:themeFill="accent1" w:themeFillTint="33"/>
            <w:textDirection w:val="btLr"/>
            <w:vAlign w:val="center"/>
          </w:tcPr>
          <w:p w14:paraId="458594D8"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color w:val="000000" w:themeColor="text1"/>
                <w:sz w:val="20"/>
                <w:szCs w:val="20"/>
                <w:lang w:val="ro-MD"/>
              </w:rPr>
              <w:t>OGPAE</w:t>
            </w:r>
          </w:p>
        </w:tc>
        <w:tc>
          <w:tcPr>
            <w:tcW w:w="567" w:type="dxa"/>
            <w:shd w:val="clear" w:color="auto" w:fill="DEEAF6" w:themeFill="accent1" w:themeFillTint="33"/>
            <w:textDirection w:val="btLr"/>
            <w:vAlign w:val="center"/>
          </w:tcPr>
          <w:p w14:paraId="30AC00F4"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ONDRL</w:t>
            </w:r>
          </w:p>
        </w:tc>
        <w:tc>
          <w:tcPr>
            <w:tcW w:w="567" w:type="dxa"/>
            <w:shd w:val="clear" w:color="auto" w:fill="DEEAF6" w:themeFill="accent1" w:themeFillTint="33"/>
            <w:textDirection w:val="btLr"/>
            <w:vAlign w:val="center"/>
          </w:tcPr>
          <w:p w14:paraId="51AD6C5A"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ONIPM</w:t>
            </w:r>
          </w:p>
        </w:tc>
        <w:tc>
          <w:tcPr>
            <w:tcW w:w="567" w:type="dxa"/>
            <w:shd w:val="clear" w:color="auto" w:fill="DEEAF6" w:themeFill="accent1" w:themeFillTint="33"/>
            <w:textDirection w:val="btLr"/>
            <w:vAlign w:val="center"/>
          </w:tcPr>
          <w:p w14:paraId="05229F20"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UCIMPA</w:t>
            </w:r>
          </w:p>
        </w:tc>
        <w:tc>
          <w:tcPr>
            <w:tcW w:w="567" w:type="dxa"/>
            <w:shd w:val="clear" w:color="auto" w:fill="DEEAF6" w:themeFill="accent1" w:themeFillTint="33"/>
            <w:textDirection w:val="btLr"/>
            <w:vAlign w:val="center"/>
          </w:tcPr>
          <w:p w14:paraId="1C3F4DB8"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 DS</w:t>
            </w:r>
          </w:p>
        </w:tc>
        <w:tc>
          <w:tcPr>
            <w:tcW w:w="567" w:type="dxa"/>
            <w:shd w:val="clear" w:color="auto" w:fill="DEEAF6" w:themeFill="accent1" w:themeFillTint="33"/>
            <w:textDirection w:val="btLr"/>
            <w:vAlign w:val="center"/>
          </w:tcPr>
          <w:p w14:paraId="43953D12"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UCIMPRSVV</w:t>
            </w:r>
          </w:p>
        </w:tc>
        <w:tc>
          <w:tcPr>
            <w:tcW w:w="567" w:type="dxa"/>
            <w:shd w:val="clear" w:color="auto" w:fill="DEEAF6" w:themeFill="accent1" w:themeFillTint="33"/>
            <w:textDirection w:val="btLr"/>
            <w:vAlign w:val="center"/>
          </w:tcPr>
          <w:p w14:paraId="4F54C257"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UCIPE</w:t>
            </w:r>
          </w:p>
        </w:tc>
        <w:tc>
          <w:tcPr>
            <w:tcW w:w="567" w:type="dxa"/>
            <w:shd w:val="clear" w:color="auto" w:fill="DEEAF6" w:themeFill="accent1" w:themeFillTint="33"/>
            <w:textDirection w:val="btLr"/>
            <w:vAlign w:val="center"/>
          </w:tcPr>
          <w:p w14:paraId="01B0658A"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UCIP IFAD</w:t>
            </w:r>
          </w:p>
        </w:tc>
        <w:tc>
          <w:tcPr>
            <w:tcW w:w="567" w:type="dxa"/>
            <w:shd w:val="clear" w:color="auto" w:fill="DEEAF6" w:themeFill="accent1" w:themeFillTint="33"/>
            <w:textDirection w:val="btLr"/>
            <w:vAlign w:val="center"/>
          </w:tcPr>
          <w:p w14:paraId="6734221E"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UIPAC</w:t>
            </w:r>
          </w:p>
        </w:tc>
        <w:tc>
          <w:tcPr>
            <w:tcW w:w="567" w:type="dxa"/>
            <w:shd w:val="clear" w:color="auto" w:fill="DEEAF6" w:themeFill="accent1" w:themeFillTint="33"/>
            <w:textDirection w:val="btLr"/>
            <w:vAlign w:val="center"/>
          </w:tcPr>
          <w:p w14:paraId="560DC193"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UIPCLPV II</w:t>
            </w:r>
          </w:p>
        </w:tc>
        <w:tc>
          <w:tcPr>
            <w:tcW w:w="567" w:type="dxa"/>
            <w:shd w:val="clear" w:color="auto" w:fill="DEEAF6" w:themeFill="accent1" w:themeFillTint="33"/>
            <w:textDirection w:val="btLr"/>
            <w:vAlign w:val="center"/>
          </w:tcPr>
          <w:p w14:paraId="68C80BBA" w14:textId="77777777" w:rsidR="00E95F46" w:rsidRPr="00483DC7" w:rsidRDefault="00E95F46" w:rsidP="00E95F46">
            <w:pPr>
              <w:spacing w:line="276" w:lineRule="auto"/>
              <w:ind w:left="113" w:right="113"/>
              <w:jc w:val="center"/>
              <w:rPr>
                <w:rFonts w:ascii="Times New Roman" w:hAnsi="Times New Roman" w:cs="Times New Roman"/>
                <w:b/>
                <w:color w:val="000000" w:themeColor="text1"/>
                <w:sz w:val="20"/>
                <w:szCs w:val="20"/>
                <w:lang w:val="ro-MD"/>
              </w:rPr>
            </w:pPr>
            <w:r w:rsidRPr="00483DC7">
              <w:rPr>
                <w:rFonts w:ascii="Times New Roman" w:hAnsi="Times New Roman" w:cs="Times New Roman"/>
                <w:b/>
                <w:sz w:val="20"/>
                <w:szCs w:val="20"/>
                <w:lang w:val="ro-MD"/>
              </w:rPr>
              <w:t>UIPCPC</w:t>
            </w:r>
          </w:p>
        </w:tc>
      </w:tr>
      <w:tr w:rsidR="00E95F46" w:rsidRPr="00483DC7" w14:paraId="59C365C2" w14:textId="77777777" w:rsidTr="0005632B">
        <w:trPr>
          <w:trHeight w:val="421"/>
        </w:trPr>
        <w:tc>
          <w:tcPr>
            <w:tcW w:w="2547" w:type="dxa"/>
          </w:tcPr>
          <w:p w14:paraId="315365E0" w14:textId="77777777" w:rsidR="00E95F46" w:rsidRPr="00483DC7" w:rsidRDefault="00E95F46" w:rsidP="00E95F46">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Fondatorul UIPFAE numește și demite Directorul?</w:t>
            </w:r>
          </w:p>
        </w:tc>
        <w:tc>
          <w:tcPr>
            <w:tcW w:w="567" w:type="dxa"/>
            <w:shd w:val="clear" w:color="auto" w:fill="E2EFD9" w:themeFill="accent6" w:themeFillTint="33"/>
            <w:vAlign w:val="center"/>
          </w:tcPr>
          <w:p w14:paraId="6778074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02BD3FBD"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3142E790"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6EBA581A"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7DD2D7A6"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1CA80566"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74E3EAE6"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6B77961"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7B879F2"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6B2B0E7B"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DD76F27"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7CD02FB6"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r>
      <w:tr w:rsidR="00E95F46" w:rsidRPr="00483DC7" w14:paraId="3D389982" w14:textId="77777777" w:rsidTr="00FD62A1">
        <w:trPr>
          <w:trHeight w:val="495"/>
        </w:trPr>
        <w:tc>
          <w:tcPr>
            <w:tcW w:w="2547" w:type="dxa"/>
          </w:tcPr>
          <w:p w14:paraId="38239B12" w14:textId="77777777" w:rsidR="00E95F46" w:rsidRPr="00483DC7" w:rsidRDefault="00E95F46" w:rsidP="00E95F46">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Directorul este selectat în bază de concurs?</w:t>
            </w:r>
          </w:p>
        </w:tc>
        <w:tc>
          <w:tcPr>
            <w:tcW w:w="567" w:type="dxa"/>
            <w:shd w:val="clear" w:color="auto" w:fill="E2EFD9" w:themeFill="accent6" w:themeFillTint="33"/>
            <w:vAlign w:val="center"/>
          </w:tcPr>
          <w:p w14:paraId="4900C1FA"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3D1E75C1"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54983019"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D7A17C1"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7FEE3DCC"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71C5B085" w14:textId="79EA03F6" w:rsidR="00E95F46" w:rsidRPr="00483DC7" w:rsidRDefault="00F10308"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4811D06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E75FE60" w14:textId="78687F1D" w:rsidR="00E95F46" w:rsidRPr="00483DC7" w:rsidRDefault="00FD62A1"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3FAC90BA"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5A39001E"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57C662DA"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70CB2AD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r>
      <w:tr w:rsidR="00E95F46" w:rsidRPr="00483DC7" w14:paraId="44D23607" w14:textId="77777777" w:rsidTr="0005632B">
        <w:trPr>
          <w:trHeight w:val="659"/>
        </w:trPr>
        <w:tc>
          <w:tcPr>
            <w:tcW w:w="2547" w:type="dxa"/>
          </w:tcPr>
          <w:p w14:paraId="3F65EAAA" w14:textId="5DA3BC0F" w:rsidR="00E95F46" w:rsidRPr="00483DC7" w:rsidRDefault="00E95F46" w:rsidP="00F35DF4">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Candidatura desemnată trebuie să fie aprobată de către Donator</w:t>
            </w:r>
            <w:r w:rsidR="00664301" w:rsidRPr="00483DC7">
              <w:rPr>
                <w:rFonts w:ascii="Times New Roman" w:hAnsi="Times New Roman" w:cs="Times New Roman"/>
                <w:color w:val="000000" w:themeColor="text1"/>
                <w:sz w:val="20"/>
                <w:szCs w:val="20"/>
                <w:lang w:val="ro-MD"/>
              </w:rPr>
              <w:t>/Finanțator</w:t>
            </w:r>
            <w:r w:rsidRPr="00483DC7">
              <w:rPr>
                <w:rFonts w:ascii="Times New Roman" w:hAnsi="Times New Roman" w:cs="Times New Roman"/>
                <w:color w:val="000000" w:themeColor="text1"/>
                <w:sz w:val="20"/>
                <w:szCs w:val="20"/>
                <w:lang w:val="ro-MD"/>
              </w:rPr>
              <w:t xml:space="preserve">? </w:t>
            </w:r>
          </w:p>
        </w:tc>
        <w:tc>
          <w:tcPr>
            <w:tcW w:w="567" w:type="dxa"/>
            <w:vAlign w:val="center"/>
          </w:tcPr>
          <w:p w14:paraId="43E85ED0"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448A3059"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046D978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7B5BF887"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125A39F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2A6FB54B"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1A8AC6EE"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58FE5347"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2FCDBB30"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0292E59A"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587EEB28"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18104FCD"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r>
      <w:tr w:rsidR="00E95F46" w:rsidRPr="00483DC7" w14:paraId="2A42AB63" w14:textId="77777777" w:rsidTr="0005632B">
        <w:tc>
          <w:tcPr>
            <w:tcW w:w="2547" w:type="dxa"/>
          </w:tcPr>
          <w:p w14:paraId="4F6F7A1E" w14:textId="2997B704" w:rsidR="00E95F46" w:rsidRPr="00483DC7" w:rsidRDefault="00E95F46" w:rsidP="00E95F46">
            <w:pPr>
              <w:spacing w:line="276" w:lineRule="auto"/>
              <w:jc w:val="both"/>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Sunt stabilite cerințe</w:t>
            </w:r>
            <w:r w:rsidR="0005632B" w:rsidRPr="00483DC7">
              <w:rPr>
                <w:rFonts w:ascii="Times New Roman" w:hAnsi="Times New Roman" w:cs="Times New Roman"/>
                <w:color w:val="000000" w:themeColor="text1"/>
                <w:sz w:val="20"/>
                <w:szCs w:val="20"/>
                <w:lang w:val="ro-MD"/>
              </w:rPr>
              <w:t xml:space="preserve"> minime</w:t>
            </w:r>
            <w:r w:rsidR="00B43BD4" w:rsidRPr="00483DC7">
              <w:rPr>
                <w:rFonts w:ascii="Times New Roman" w:hAnsi="Times New Roman" w:cs="Times New Roman"/>
                <w:color w:val="000000" w:themeColor="text1"/>
                <w:sz w:val="20"/>
                <w:szCs w:val="20"/>
                <w:lang w:val="ro-MD"/>
              </w:rPr>
              <w:t xml:space="preserve"> specifice, tipizate,</w:t>
            </w:r>
            <w:r w:rsidRPr="00483DC7">
              <w:rPr>
                <w:rFonts w:ascii="Times New Roman" w:hAnsi="Times New Roman" w:cs="Times New Roman"/>
                <w:color w:val="000000" w:themeColor="text1"/>
                <w:sz w:val="20"/>
                <w:szCs w:val="20"/>
                <w:lang w:val="ro-MD"/>
              </w:rPr>
              <w:t xml:space="preserve"> față de titularul funcției de Director?</w:t>
            </w:r>
          </w:p>
        </w:tc>
        <w:tc>
          <w:tcPr>
            <w:tcW w:w="567" w:type="dxa"/>
            <w:vAlign w:val="center"/>
          </w:tcPr>
          <w:p w14:paraId="02ACA6FF"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348F2CCD"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73B675BC"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39CFA628"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E2625EB"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48899CF6"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6257551E"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shd w:val="clear" w:color="auto" w:fill="E2EFD9" w:themeFill="accent6" w:themeFillTint="33"/>
            <w:vAlign w:val="center"/>
          </w:tcPr>
          <w:p w14:paraId="4B69523D"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2284CF0B"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shd w:val="clear" w:color="auto" w:fill="E2EFD9" w:themeFill="accent6" w:themeFillTint="33"/>
            <w:vAlign w:val="center"/>
          </w:tcPr>
          <w:p w14:paraId="5C07AD84"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DA</w:t>
            </w:r>
          </w:p>
        </w:tc>
        <w:tc>
          <w:tcPr>
            <w:tcW w:w="567" w:type="dxa"/>
            <w:vAlign w:val="center"/>
          </w:tcPr>
          <w:p w14:paraId="2D987699"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c>
          <w:tcPr>
            <w:tcW w:w="567" w:type="dxa"/>
            <w:vAlign w:val="center"/>
          </w:tcPr>
          <w:p w14:paraId="4D0A96A9" w14:textId="77777777" w:rsidR="00E95F46" w:rsidRPr="00483DC7" w:rsidRDefault="00E95F46" w:rsidP="00E95F46">
            <w:pPr>
              <w:spacing w:line="276" w:lineRule="auto"/>
              <w:jc w:val="center"/>
              <w:rPr>
                <w:rFonts w:ascii="Times New Roman" w:hAnsi="Times New Roman" w:cs="Times New Roman"/>
                <w:color w:val="000000" w:themeColor="text1"/>
                <w:sz w:val="20"/>
                <w:szCs w:val="20"/>
                <w:lang w:val="ro-MD"/>
              </w:rPr>
            </w:pPr>
            <w:r w:rsidRPr="00483DC7">
              <w:rPr>
                <w:rFonts w:ascii="Times New Roman" w:hAnsi="Times New Roman" w:cs="Times New Roman"/>
                <w:color w:val="000000" w:themeColor="text1"/>
                <w:sz w:val="20"/>
                <w:szCs w:val="20"/>
                <w:lang w:val="ro-MD"/>
              </w:rPr>
              <w:t>NU</w:t>
            </w:r>
          </w:p>
        </w:tc>
      </w:tr>
      <w:tr w:rsidR="00E95F46" w:rsidRPr="00483DC7" w14:paraId="394C88C9" w14:textId="77777777" w:rsidTr="00E95F46">
        <w:trPr>
          <w:trHeight w:val="385"/>
        </w:trPr>
        <w:tc>
          <w:tcPr>
            <w:tcW w:w="9351" w:type="dxa"/>
            <w:gridSpan w:val="13"/>
            <w:tcBorders>
              <w:left w:val="single" w:sz="4" w:space="0" w:color="FFFFFF" w:themeColor="background1"/>
              <w:bottom w:val="single" w:sz="4" w:space="0" w:color="FFFFFF" w:themeColor="background1"/>
              <w:right w:val="single" w:sz="4" w:space="0" w:color="FFFFFF" w:themeColor="background1"/>
            </w:tcBorders>
          </w:tcPr>
          <w:p w14:paraId="58330B7C" w14:textId="77777777" w:rsidR="00E95F46" w:rsidRPr="00483DC7" w:rsidRDefault="00E95F46" w:rsidP="00E95F46">
            <w:pPr>
              <w:spacing w:line="276" w:lineRule="auto"/>
              <w:jc w:val="center"/>
              <w:rPr>
                <w:rFonts w:ascii="Times New Roman" w:hAnsi="Times New Roman" w:cs="Times New Roman"/>
                <w:i/>
                <w:color w:val="000000" w:themeColor="text1"/>
                <w:sz w:val="20"/>
                <w:szCs w:val="20"/>
                <w:lang w:val="ro-MD"/>
              </w:rPr>
            </w:pPr>
            <w:r w:rsidRPr="00483DC7">
              <w:rPr>
                <w:rFonts w:ascii="Times New Roman" w:hAnsi="Times New Roman" w:cs="Times New Roman"/>
                <w:b/>
                <w:i/>
                <w:color w:val="000000" w:themeColor="text1"/>
                <w:sz w:val="20"/>
                <w:szCs w:val="20"/>
                <w:lang w:val="ro-MD"/>
              </w:rPr>
              <w:t>Sursa:</w:t>
            </w:r>
            <w:r w:rsidRPr="00483DC7">
              <w:rPr>
                <w:rFonts w:ascii="Times New Roman" w:hAnsi="Times New Roman" w:cs="Times New Roman"/>
                <w:i/>
                <w:color w:val="000000" w:themeColor="text1"/>
                <w:sz w:val="20"/>
                <w:szCs w:val="20"/>
                <w:lang w:val="ro-MD"/>
              </w:rPr>
              <w:t xml:space="preserve"> Întocmit de către audit, conform prevederilor Hotărârilor de Guvern cu privire la crearea UIPFAE. </w:t>
            </w:r>
          </w:p>
        </w:tc>
      </w:tr>
    </w:tbl>
    <w:p w14:paraId="3F31B1AE" w14:textId="1D6AE1E8" w:rsidR="00786A3B" w:rsidRPr="00483DC7" w:rsidRDefault="00786A3B" w:rsidP="00786A3B">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lastRenderedPageBreak/>
        <w:t xml:space="preserve">În această ordine de idei, este de remarcat faptul că, sub aspect de selectare și numire în funcție a Directorului UIPFAE, doar în </w:t>
      </w:r>
      <w:r w:rsidR="00FD62A1" w:rsidRPr="00483DC7">
        <w:rPr>
          <w:rFonts w:ascii="Times New Roman" w:hAnsi="Times New Roman" w:cs="Times New Roman"/>
          <w:color w:val="000000" w:themeColor="text1"/>
          <w:sz w:val="24"/>
          <w:szCs w:val="24"/>
          <w:lang w:val="ro-MD"/>
        </w:rPr>
        <w:t xml:space="preserve">7 </w:t>
      </w:r>
      <w:r w:rsidRPr="00483DC7">
        <w:rPr>
          <w:rFonts w:ascii="Times New Roman" w:hAnsi="Times New Roman" w:cs="Times New Roman"/>
          <w:color w:val="000000" w:themeColor="text1"/>
          <w:sz w:val="24"/>
          <w:szCs w:val="24"/>
          <w:lang w:val="ro-MD"/>
        </w:rPr>
        <w:t>cazuri din 12 analizate (ADMA, ONIPM,</w:t>
      </w:r>
      <w:r w:rsidR="00F10308" w:rsidRPr="00483DC7">
        <w:rPr>
          <w:rFonts w:ascii="Times New Roman" w:hAnsi="Times New Roman" w:cs="Times New Roman"/>
          <w:color w:val="000000" w:themeColor="text1"/>
          <w:sz w:val="24"/>
          <w:szCs w:val="24"/>
          <w:lang w:val="ro-MD"/>
        </w:rPr>
        <w:t xml:space="preserve"> UCIMP DS,</w:t>
      </w:r>
      <w:r w:rsidRPr="00483DC7">
        <w:rPr>
          <w:rFonts w:ascii="Times New Roman" w:hAnsi="Times New Roman" w:cs="Times New Roman"/>
          <w:color w:val="000000" w:themeColor="text1"/>
          <w:sz w:val="24"/>
          <w:szCs w:val="24"/>
          <w:lang w:val="ro-MD"/>
        </w:rPr>
        <w:t xml:space="preserve"> </w:t>
      </w:r>
      <w:r w:rsidR="00FD62A1" w:rsidRPr="00483DC7">
        <w:rPr>
          <w:rFonts w:ascii="Times New Roman" w:hAnsi="Times New Roman" w:cs="Times New Roman"/>
          <w:color w:val="000000" w:themeColor="text1"/>
          <w:sz w:val="24"/>
          <w:szCs w:val="24"/>
          <w:lang w:val="ro-MD"/>
        </w:rPr>
        <w:t xml:space="preserve">UCIPE, </w:t>
      </w:r>
      <w:r w:rsidRPr="00483DC7">
        <w:rPr>
          <w:rFonts w:ascii="Times New Roman" w:hAnsi="Times New Roman" w:cs="Times New Roman"/>
          <w:color w:val="000000" w:themeColor="text1"/>
          <w:sz w:val="24"/>
          <w:szCs w:val="24"/>
          <w:lang w:val="ro-MD"/>
        </w:rPr>
        <w:t>UCIP IFAD, UIPCLPV II și UIPCPC) actele de constituire stabilesc obligativitatea de selectare a candidaturii Directorului UIPFAE în cadrul unui concurs public de angajare.</w:t>
      </w:r>
    </w:p>
    <w:p w14:paraId="3B8B22F4" w14:textId="103D6462" w:rsidR="00B8553B" w:rsidRPr="00483DC7" w:rsidRDefault="00786A3B" w:rsidP="00786A3B">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În alte </w:t>
      </w:r>
      <w:r w:rsidR="00FD62A1" w:rsidRPr="00483DC7">
        <w:rPr>
          <w:rFonts w:ascii="Times New Roman" w:hAnsi="Times New Roman" w:cs="Times New Roman"/>
          <w:color w:val="000000" w:themeColor="text1"/>
          <w:sz w:val="24"/>
          <w:szCs w:val="24"/>
          <w:lang w:val="ro-MD"/>
        </w:rPr>
        <w:t xml:space="preserve">2 </w:t>
      </w:r>
      <w:r w:rsidRPr="00483DC7">
        <w:rPr>
          <w:rFonts w:ascii="Times New Roman" w:hAnsi="Times New Roman" w:cs="Times New Roman"/>
          <w:color w:val="000000" w:themeColor="text1"/>
          <w:sz w:val="24"/>
          <w:szCs w:val="24"/>
          <w:lang w:val="ro-MD"/>
        </w:rPr>
        <w:t>cazuri (UCIMPA</w:t>
      </w:r>
      <w:r w:rsidR="00FD62A1" w:rsidRPr="00483DC7">
        <w:rPr>
          <w:rFonts w:ascii="Times New Roman" w:hAnsi="Times New Roman" w:cs="Times New Roman"/>
          <w:color w:val="000000" w:themeColor="text1"/>
          <w:sz w:val="24"/>
          <w:szCs w:val="24"/>
          <w:lang w:val="ro-MD"/>
        </w:rPr>
        <w:t xml:space="preserve"> </w:t>
      </w:r>
      <w:r w:rsidRPr="00483DC7">
        <w:rPr>
          <w:rFonts w:ascii="Times New Roman" w:hAnsi="Times New Roman" w:cs="Times New Roman"/>
          <w:color w:val="000000" w:themeColor="text1"/>
          <w:sz w:val="24"/>
          <w:szCs w:val="24"/>
          <w:lang w:val="ro-MD"/>
        </w:rPr>
        <w:t>și UIPAC), în actul de constituire nu este expres indicată necesitatea organizării unui concurs pentru selectarea candidaturii Directorului, dar</w:t>
      </w:r>
      <w:r w:rsidR="00F35DF4">
        <w:rPr>
          <w:rFonts w:ascii="Times New Roman" w:hAnsi="Times New Roman" w:cs="Times New Roman"/>
          <w:color w:val="000000" w:themeColor="text1"/>
          <w:sz w:val="24"/>
          <w:szCs w:val="24"/>
          <w:lang w:val="ro-MD"/>
        </w:rPr>
        <w:t>,</w:t>
      </w:r>
      <w:r w:rsidRPr="00483DC7">
        <w:rPr>
          <w:rFonts w:ascii="Times New Roman" w:hAnsi="Times New Roman" w:cs="Times New Roman"/>
          <w:color w:val="000000" w:themeColor="text1"/>
          <w:sz w:val="24"/>
          <w:szCs w:val="24"/>
          <w:lang w:val="ro-MD"/>
        </w:rPr>
        <w:t xml:space="preserve"> în schimb</w:t>
      </w:r>
      <w:r w:rsidR="00F35DF4">
        <w:rPr>
          <w:rFonts w:ascii="Times New Roman" w:hAnsi="Times New Roman" w:cs="Times New Roman"/>
          <w:color w:val="000000" w:themeColor="text1"/>
          <w:sz w:val="24"/>
          <w:szCs w:val="24"/>
          <w:lang w:val="ro-MD"/>
        </w:rPr>
        <w:t>,</w:t>
      </w:r>
      <w:r w:rsidRPr="00483DC7">
        <w:rPr>
          <w:rFonts w:ascii="Times New Roman" w:hAnsi="Times New Roman" w:cs="Times New Roman"/>
          <w:color w:val="000000" w:themeColor="text1"/>
          <w:sz w:val="24"/>
          <w:szCs w:val="24"/>
          <w:lang w:val="ro-MD"/>
        </w:rPr>
        <w:t xml:space="preserve"> este reglementată cerința privind numirea în funcție a persoanei identificate de către fondator doar cu acceptul partenerului de dezvoltare. </w:t>
      </w:r>
      <w:r w:rsidR="00CE6F45" w:rsidRPr="00483DC7">
        <w:rPr>
          <w:rFonts w:ascii="Times New Roman" w:hAnsi="Times New Roman" w:cs="Times New Roman"/>
          <w:color w:val="000000" w:themeColor="text1"/>
          <w:sz w:val="24"/>
          <w:szCs w:val="24"/>
          <w:lang w:val="ro-MD"/>
        </w:rPr>
        <w:t>Spre exemplu, în cazul UIPAC, Directorul ales prin concurs în anul 2005, a fost reconfirmat în funcție de către Consiliul de observatori</w:t>
      </w:r>
      <w:r w:rsidR="00CC0E97" w:rsidRPr="00483DC7">
        <w:rPr>
          <w:rFonts w:ascii="Times New Roman" w:hAnsi="Times New Roman" w:cs="Times New Roman"/>
          <w:color w:val="000000" w:themeColor="text1"/>
          <w:sz w:val="24"/>
          <w:szCs w:val="24"/>
          <w:lang w:val="ro-MD"/>
        </w:rPr>
        <w:t xml:space="preserve"> al UIPAC</w:t>
      </w:r>
      <w:r w:rsidR="00CE6F45" w:rsidRPr="00483DC7">
        <w:rPr>
          <w:rFonts w:ascii="Times New Roman" w:hAnsi="Times New Roman" w:cs="Times New Roman"/>
          <w:color w:val="000000" w:themeColor="text1"/>
          <w:sz w:val="24"/>
          <w:szCs w:val="24"/>
          <w:lang w:val="ro-MD"/>
        </w:rPr>
        <w:t xml:space="preserve">, având la bază evaluarea activității </w:t>
      </w:r>
      <w:r w:rsidR="00CC0E97" w:rsidRPr="00483DC7">
        <w:rPr>
          <w:rFonts w:ascii="Times New Roman" w:hAnsi="Times New Roman" w:cs="Times New Roman"/>
          <w:color w:val="000000" w:themeColor="text1"/>
          <w:sz w:val="24"/>
          <w:szCs w:val="24"/>
          <w:lang w:val="ro-MD"/>
        </w:rPr>
        <w:t>di</w:t>
      </w:r>
      <w:r w:rsidR="00CE6F45" w:rsidRPr="00483DC7">
        <w:rPr>
          <w:rFonts w:ascii="Times New Roman" w:hAnsi="Times New Roman" w:cs="Times New Roman"/>
          <w:color w:val="000000" w:themeColor="text1"/>
          <w:sz w:val="24"/>
          <w:szCs w:val="24"/>
          <w:lang w:val="ro-MD"/>
        </w:rPr>
        <w:t>n proiectele precedente și recomandarea Băncii Mondiale, în calitate de partener de dezvoltare, de a păstra echipele de implementare pentru proiectele ulterioare.</w:t>
      </w:r>
    </w:p>
    <w:p w14:paraId="707A39BF" w14:textId="4074D275" w:rsidR="00786A3B" w:rsidRPr="00483DC7" w:rsidRDefault="00B8553B" w:rsidP="00786A3B">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Totodată, conform explicațiilor ONIPM</w:t>
      </w:r>
      <w:r w:rsidR="009D69F3" w:rsidRPr="00483DC7">
        <w:rPr>
          <w:rFonts w:ascii="Times New Roman" w:hAnsi="Times New Roman" w:cs="Times New Roman"/>
          <w:color w:val="000000" w:themeColor="text1"/>
          <w:sz w:val="24"/>
          <w:szCs w:val="24"/>
          <w:lang w:val="ro-MD"/>
        </w:rPr>
        <w:t xml:space="preserve">, </w:t>
      </w:r>
      <w:r w:rsidRPr="00483DC7">
        <w:rPr>
          <w:rFonts w:ascii="Times New Roman" w:hAnsi="Times New Roman" w:cs="Times New Roman"/>
          <w:color w:val="000000" w:themeColor="text1"/>
          <w:sz w:val="24"/>
          <w:szCs w:val="24"/>
          <w:lang w:val="ro-MD"/>
        </w:rPr>
        <w:t xml:space="preserve">aprobarea de către donatori a candidaturii Directorului </w:t>
      </w:r>
      <w:r w:rsidR="009D69F3" w:rsidRPr="00483DC7">
        <w:rPr>
          <w:rFonts w:ascii="Times New Roman" w:hAnsi="Times New Roman" w:cs="Times New Roman"/>
          <w:color w:val="000000" w:themeColor="text1"/>
          <w:sz w:val="24"/>
          <w:szCs w:val="24"/>
          <w:lang w:val="ro-MD"/>
        </w:rPr>
        <w:t>„ ...</w:t>
      </w:r>
      <w:r w:rsidRPr="00483DC7">
        <w:rPr>
          <w:rFonts w:ascii="Times New Roman" w:hAnsi="Times New Roman" w:cs="Times New Roman"/>
          <w:color w:val="000000" w:themeColor="text1"/>
          <w:sz w:val="24"/>
          <w:szCs w:val="24"/>
          <w:lang w:val="ro-MD"/>
        </w:rPr>
        <w:t>este improprie IP ONIPM, întrucât instituția implementează mai multe proiecte finanțate de către diferiți donatori. Cu atât mai mult, aprobarea de către donatori a candidaturii poate fi atribuită ca imixtiune în activitățile interne a</w:t>
      </w:r>
      <w:r w:rsidR="00F35DF4">
        <w:rPr>
          <w:rFonts w:ascii="Times New Roman" w:hAnsi="Times New Roman" w:cs="Times New Roman"/>
          <w:color w:val="000000" w:themeColor="text1"/>
          <w:sz w:val="24"/>
          <w:szCs w:val="24"/>
          <w:lang w:val="ro-MD"/>
        </w:rPr>
        <w:t>le</w:t>
      </w:r>
      <w:r w:rsidRPr="00483DC7">
        <w:rPr>
          <w:rFonts w:ascii="Times New Roman" w:hAnsi="Times New Roman" w:cs="Times New Roman"/>
          <w:color w:val="000000" w:themeColor="text1"/>
          <w:sz w:val="24"/>
          <w:szCs w:val="24"/>
          <w:lang w:val="ro-MD"/>
        </w:rPr>
        <w:t xml:space="preserve"> unei autorități sau instituții publice, aceasta urmând a fi lăsată la latitudinea organului de conducere și/sau fondatorului, cu respectarea cadrului normativ de selectare și numire pe bază de meritocrație.</w:t>
      </w:r>
      <w:r w:rsidR="009D69F3" w:rsidRPr="00483DC7">
        <w:rPr>
          <w:rFonts w:ascii="Times New Roman" w:hAnsi="Times New Roman" w:cs="Times New Roman"/>
          <w:color w:val="000000" w:themeColor="text1"/>
          <w:sz w:val="24"/>
          <w:szCs w:val="24"/>
          <w:lang w:val="ro-MD"/>
        </w:rPr>
        <w:t>..</w:t>
      </w:r>
      <w:r w:rsidRPr="00483DC7">
        <w:rPr>
          <w:rFonts w:ascii="Times New Roman" w:hAnsi="Times New Roman" w:cs="Times New Roman"/>
          <w:color w:val="000000" w:themeColor="text1"/>
          <w:sz w:val="24"/>
          <w:szCs w:val="24"/>
          <w:lang w:val="ro-MD"/>
        </w:rPr>
        <w:t>”</w:t>
      </w:r>
      <w:r w:rsidR="007245E7" w:rsidRPr="00483DC7">
        <w:rPr>
          <w:rFonts w:ascii="Times New Roman" w:hAnsi="Times New Roman" w:cs="Times New Roman"/>
          <w:color w:val="000000" w:themeColor="text1"/>
          <w:sz w:val="24"/>
          <w:szCs w:val="24"/>
          <w:lang w:val="ro-MD"/>
        </w:rPr>
        <w:t>.</w:t>
      </w:r>
    </w:p>
    <w:p w14:paraId="1C0656EA" w14:textId="66BD33EC" w:rsidR="00786A3B" w:rsidRPr="00483DC7" w:rsidRDefault="00786A3B" w:rsidP="00786A3B">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În celelalte </w:t>
      </w:r>
      <w:r w:rsidR="00F10308" w:rsidRPr="00483DC7">
        <w:rPr>
          <w:rFonts w:ascii="Times New Roman" w:hAnsi="Times New Roman" w:cs="Times New Roman"/>
          <w:color w:val="000000" w:themeColor="text1"/>
          <w:sz w:val="24"/>
          <w:szCs w:val="24"/>
          <w:lang w:val="ro-MD"/>
        </w:rPr>
        <w:t xml:space="preserve">3 </w:t>
      </w:r>
      <w:r w:rsidRPr="00483DC7">
        <w:rPr>
          <w:rFonts w:ascii="Times New Roman" w:hAnsi="Times New Roman" w:cs="Times New Roman"/>
          <w:color w:val="000000" w:themeColor="text1"/>
          <w:sz w:val="24"/>
          <w:szCs w:val="24"/>
          <w:lang w:val="ro-MD"/>
        </w:rPr>
        <w:t>cazuri (OGPAE, ONDRL și UCIMPRSVV), în actul de constituire nu este expres indicată nici necesitatea organizării unui concurs</w:t>
      </w:r>
      <w:r w:rsidR="00F35DF4">
        <w:rPr>
          <w:rFonts w:ascii="Times New Roman" w:hAnsi="Times New Roman" w:cs="Times New Roman"/>
          <w:color w:val="000000" w:themeColor="text1"/>
          <w:sz w:val="24"/>
          <w:szCs w:val="24"/>
          <w:lang w:val="ro-MD"/>
        </w:rPr>
        <w:t>,</w:t>
      </w:r>
      <w:r w:rsidRPr="00483DC7">
        <w:rPr>
          <w:rFonts w:ascii="Times New Roman" w:hAnsi="Times New Roman" w:cs="Times New Roman"/>
          <w:color w:val="000000" w:themeColor="text1"/>
          <w:sz w:val="24"/>
          <w:szCs w:val="24"/>
          <w:lang w:val="ro-MD"/>
        </w:rPr>
        <w:t xml:space="preserve"> nici obligativitatea de coordonare a candidaturii Directorului UIPFAE cu partenerul de dezvoltare, dreptul discreționar a</w:t>
      </w:r>
      <w:r w:rsidR="003F2FB8">
        <w:rPr>
          <w:rFonts w:ascii="Times New Roman" w:hAnsi="Times New Roman" w:cs="Times New Roman"/>
          <w:color w:val="000000" w:themeColor="text1"/>
          <w:sz w:val="24"/>
          <w:szCs w:val="24"/>
          <w:lang w:val="ro-MD"/>
        </w:rPr>
        <w:t>l</w:t>
      </w:r>
      <w:r w:rsidRPr="00483DC7">
        <w:rPr>
          <w:rFonts w:ascii="Times New Roman" w:hAnsi="Times New Roman" w:cs="Times New Roman"/>
          <w:color w:val="000000" w:themeColor="text1"/>
          <w:sz w:val="24"/>
          <w:szCs w:val="24"/>
          <w:lang w:val="ro-MD"/>
        </w:rPr>
        <w:t xml:space="preserve"> fondatorului pentru numirea</w:t>
      </w:r>
      <w:r w:rsidR="00EA24E1">
        <w:rPr>
          <w:rFonts w:ascii="Times New Roman" w:hAnsi="Times New Roman" w:cs="Times New Roman"/>
          <w:color w:val="000000" w:themeColor="text1"/>
          <w:sz w:val="24"/>
          <w:szCs w:val="24"/>
          <w:lang w:val="ro-MD"/>
        </w:rPr>
        <w:t xml:space="preserve"> și/</w:t>
      </w:r>
      <w:r w:rsidR="00C60229" w:rsidRPr="00483DC7">
        <w:rPr>
          <w:rFonts w:ascii="Times New Roman" w:hAnsi="Times New Roman" w:cs="Times New Roman"/>
          <w:color w:val="000000" w:themeColor="text1"/>
          <w:sz w:val="24"/>
          <w:szCs w:val="24"/>
          <w:lang w:val="ro-MD"/>
        </w:rPr>
        <w:t>sau demiterea</w:t>
      </w:r>
      <w:r w:rsidRPr="00483DC7">
        <w:rPr>
          <w:rFonts w:ascii="Times New Roman" w:hAnsi="Times New Roman" w:cs="Times New Roman"/>
          <w:color w:val="000000" w:themeColor="text1"/>
          <w:sz w:val="24"/>
          <w:szCs w:val="24"/>
          <w:lang w:val="ro-MD"/>
        </w:rPr>
        <w:t xml:space="preserve"> directorului având o întindere mult prea mare.</w:t>
      </w:r>
    </w:p>
    <w:p w14:paraId="5D44D770" w14:textId="7E005E70" w:rsidR="003F58CF" w:rsidRPr="00483DC7" w:rsidRDefault="0005632B" w:rsidP="00766CE2">
      <w:pPr>
        <w:spacing w:after="0"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 xml:space="preserve">Totodată, probele de audit denotă că, doar în 4 cazuri din 12 analizate (UCIMPA, UCIMPRSVV, UCIPE și UIPAC), actele de constituire reglementează cerințele minime specifice, tipizate, față de titularul funcției de Director. În celelalte cazuri, cerințele minime cu privire la pregătirea educațională, experiența profesională, competențele și abilitățile </w:t>
      </w:r>
      <w:r w:rsidR="003F58CF" w:rsidRPr="00483DC7">
        <w:rPr>
          <w:rFonts w:ascii="Times New Roman" w:hAnsi="Times New Roman" w:cs="Times New Roman"/>
          <w:color w:val="000000" w:themeColor="text1"/>
          <w:sz w:val="24"/>
          <w:szCs w:val="24"/>
          <w:lang w:val="ro-MD"/>
        </w:rPr>
        <w:t>necesare pentru ocuparea funcției de Director sunt reglementate prin actele interne ale autorității responsabile de desfășurarea concursurilor de anga</w:t>
      </w:r>
      <w:r w:rsidR="00D16F64" w:rsidRPr="00483DC7">
        <w:rPr>
          <w:rFonts w:ascii="Times New Roman" w:hAnsi="Times New Roman" w:cs="Times New Roman"/>
          <w:color w:val="000000" w:themeColor="text1"/>
          <w:sz w:val="24"/>
          <w:szCs w:val="24"/>
          <w:lang w:val="ro-MD"/>
        </w:rPr>
        <w:t>jare, generând riscul de inconsecve</w:t>
      </w:r>
      <w:r w:rsidR="003F58CF" w:rsidRPr="00483DC7">
        <w:rPr>
          <w:rFonts w:ascii="Times New Roman" w:hAnsi="Times New Roman" w:cs="Times New Roman"/>
          <w:color w:val="000000" w:themeColor="text1"/>
          <w:sz w:val="24"/>
          <w:szCs w:val="24"/>
          <w:lang w:val="ro-MD"/>
        </w:rPr>
        <w:t>nță</w:t>
      </w:r>
      <w:r w:rsidR="00D16F64" w:rsidRPr="00483DC7">
        <w:rPr>
          <w:rFonts w:ascii="Times New Roman" w:hAnsi="Times New Roman" w:cs="Times New Roman"/>
          <w:color w:val="000000" w:themeColor="text1"/>
          <w:sz w:val="24"/>
          <w:szCs w:val="24"/>
          <w:lang w:val="ro-MD"/>
        </w:rPr>
        <w:t xml:space="preserve"> și neuniformizare a cerințelor și practicilor, la nivel național,</w:t>
      </w:r>
      <w:r w:rsidR="003F58CF" w:rsidRPr="00483DC7">
        <w:rPr>
          <w:rFonts w:ascii="Times New Roman" w:hAnsi="Times New Roman" w:cs="Times New Roman"/>
          <w:color w:val="000000" w:themeColor="text1"/>
          <w:sz w:val="24"/>
          <w:szCs w:val="24"/>
          <w:lang w:val="ro-MD"/>
        </w:rPr>
        <w:t xml:space="preserve"> în procesul de recrutare a personalului în funcții </w:t>
      </w:r>
      <w:r w:rsidR="00D16F64" w:rsidRPr="00483DC7">
        <w:rPr>
          <w:rFonts w:ascii="Times New Roman" w:hAnsi="Times New Roman" w:cs="Times New Roman"/>
          <w:color w:val="000000" w:themeColor="text1"/>
          <w:sz w:val="24"/>
          <w:szCs w:val="24"/>
          <w:lang w:val="ro-MD"/>
        </w:rPr>
        <w:t>de management superior</w:t>
      </w:r>
      <w:r w:rsidR="003F58CF" w:rsidRPr="00483DC7">
        <w:rPr>
          <w:rFonts w:ascii="Times New Roman" w:hAnsi="Times New Roman" w:cs="Times New Roman"/>
          <w:color w:val="000000" w:themeColor="text1"/>
          <w:sz w:val="24"/>
          <w:szCs w:val="24"/>
          <w:lang w:val="ro-MD"/>
        </w:rPr>
        <w:t xml:space="preserve">, afectând încrederea </w:t>
      </w:r>
      <w:r w:rsidR="00D16F64" w:rsidRPr="00483DC7">
        <w:rPr>
          <w:rFonts w:ascii="Times New Roman" w:hAnsi="Times New Roman" w:cs="Times New Roman"/>
          <w:color w:val="000000" w:themeColor="text1"/>
          <w:sz w:val="24"/>
          <w:szCs w:val="24"/>
          <w:lang w:val="ro-MD"/>
        </w:rPr>
        <w:t>potențialilor candidați</w:t>
      </w:r>
      <w:r w:rsidR="003F58CF" w:rsidRPr="00483DC7">
        <w:rPr>
          <w:rFonts w:ascii="Times New Roman" w:hAnsi="Times New Roman" w:cs="Times New Roman"/>
          <w:color w:val="000000" w:themeColor="text1"/>
          <w:sz w:val="24"/>
          <w:szCs w:val="24"/>
          <w:lang w:val="ro-MD"/>
        </w:rPr>
        <w:t xml:space="preserve"> în procesul de selecție</w:t>
      </w:r>
      <w:r w:rsidR="00D16F64" w:rsidRPr="00483DC7">
        <w:rPr>
          <w:rFonts w:ascii="Times New Roman" w:hAnsi="Times New Roman" w:cs="Times New Roman"/>
          <w:color w:val="000000" w:themeColor="text1"/>
          <w:sz w:val="24"/>
          <w:szCs w:val="24"/>
          <w:lang w:val="ro-MD"/>
        </w:rPr>
        <w:t xml:space="preserve"> și numire în funcție</w:t>
      </w:r>
      <w:r w:rsidR="003F58CF" w:rsidRPr="00483DC7">
        <w:rPr>
          <w:rFonts w:ascii="Times New Roman" w:hAnsi="Times New Roman" w:cs="Times New Roman"/>
          <w:color w:val="000000" w:themeColor="text1"/>
          <w:sz w:val="24"/>
          <w:szCs w:val="24"/>
          <w:lang w:val="ro-MD"/>
        </w:rPr>
        <w:t xml:space="preserve">.  </w:t>
      </w:r>
    </w:p>
    <w:p w14:paraId="5012E9DA" w14:textId="22D3CA12" w:rsidR="00DD45FF" w:rsidRPr="00483DC7" w:rsidRDefault="009A7210" w:rsidP="00B4017C">
      <w:pPr>
        <w:spacing w:line="276" w:lineRule="auto"/>
        <w:ind w:firstLine="709"/>
        <w:jc w:val="both"/>
        <w:rPr>
          <w:rFonts w:ascii="Times New Roman" w:hAnsi="Times New Roman" w:cs="Times New Roman"/>
          <w:color w:val="000000" w:themeColor="text1"/>
          <w:sz w:val="24"/>
          <w:szCs w:val="24"/>
          <w:lang w:val="ro-MD"/>
        </w:rPr>
      </w:pPr>
      <w:r w:rsidRPr="00483DC7">
        <w:rPr>
          <w:rFonts w:ascii="Times New Roman" w:hAnsi="Times New Roman" w:cs="Times New Roman"/>
          <w:color w:val="000000" w:themeColor="text1"/>
          <w:sz w:val="24"/>
          <w:szCs w:val="24"/>
          <w:lang w:val="ro-MD"/>
        </w:rPr>
        <w:t>Concluzionând cele expuse, auditul relevă că</w:t>
      </w:r>
      <w:r w:rsidR="00E13A12" w:rsidRPr="00483DC7">
        <w:rPr>
          <w:rFonts w:ascii="Times New Roman" w:hAnsi="Times New Roman" w:cs="Times New Roman"/>
          <w:color w:val="000000" w:themeColor="text1"/>
          <w:sz w:val="24"/>
          <w:szCs w:val="24"/>
          <w:lang w:val="ro-MD"/>
        </w:rPr>
        <w:t xml:space="preserve"> pentru menținerea unui mediu de lucru echitabil, transparent și stabil al UIPFAE, </w:t>
      </w:r>
      <w:r w:rsidR="00DD45FF" w:rsidRPr="00483DC7">
        <w:rPr>
          <w:rFonts w:ascii="Times New Roman" w:hAnsi="Times New Roman" w:cs="Times New Roman"/>
          <w:color w:val="000000" w:themeColor="text1"/>
          <w:sz w:val="24"/>
          <w:szCs w:val="24"/>
          <w:lang w:val="ro-MD"/>
        </w:rPr>
        <w:t>nu ar trebui să existe instrumente de</w:t>
      </w:r>
      <w:r w:rsidRPr="00483DC7">
        <w:rPr>
          <w:rFonts w:ascii="Times New Roman" w:hAnsi="Times New Roman" w:cs="Times New Roman"/>
          <w:color w:val="000000" w:themeColor="text1"/>
          <w:sz w:val="24"/>
          <w:szCs w:val="24"/>
          <w:lang w:val="ro-MD"/>
        </w:rPr>
        <w:t xml:space="preserve"> </w:t>
      </w:r>
      <w:r w:rsidR="00CA7134" w:rsidRPr="00483DC7">
        <w:rPr>
          <w:rFonts w:ascii="Times New Roman" w:hAnsi="Times New Roman" w:cs="Times New Roman"/>
          <w:color w:val="000000" w:themeColor="text1"/>
          <w:sz w:val="24"/>
          <w:szCs w:val="24"/>
          <w:lang w:val="ro-MD"/>
        </w:rPr>
        <w:t>atribuire</w:t>
      </w:r>
      <w:r w:rsidRPr="00483DC7">
        <w:rPr>
          <w:rFonts w:ascii="Times New Roman" w:hAnsi="Times New Roman" w:cs="Times New Roman"/>
          <w:color w:val="000000" w:themeColor="text1"/>
          <w:sz w:val="24"/>
          <w:szCs w:val="24"/>
          <w:lang w:val="ro-MD"/>
        </w:rPr>
        <w:t xml:space="preserve"> și</w:t>
      </w:r>
      <w:r w:rsidR="00DD45FF" w:rsidRPr="00483DC7">
        <w:rPr>
          <w:rFonts w:ascii="Times New Roman" w:hAnsi="Times New Roman" w:cs="Times New Roman"/>
          <w:color w:val="000000" w:themeColor="text1"/>
          <w:sz w:val="24"/>
          <w:szCs w:val="24"/>
          <w:lang w:val="ro-MD"/>
        </w:rPr>
        <w:t xml:space="preserve"> retragere discreționară a mandatului Directorilor UIPFAE, iar relațiile de muncă între angajator și </w:t>
      </w:r>
      <w:r w:rsidR="00CA7134" w:rsidRPr="00483DC7">
        <w:rPr>
          <w:rFonts w:ascii="Times New Roman" w:hAnsi="Times New Roman" w:cs="Times New Roman"/>
          <w:color w:val="000000" w:themeColor="text1"/>
          <w:sz w:val="24"/>
          <w:szCs w:val="24"/>
          <w:lang w:val="ro-MD"/>
        </w:rPr>
        <w:t>titularul funcției de Director</w:t>
      </w:r>
      <w:r w:rsidR="00DD45FF" w:rsidRPr="00483DC7">
        <w:rPr>
          <w:rFonts w:ascii="Times New Roman" w:hAnsi="Times New Roman" w:cs="Times New Roman"/>
          <w:color w:val="000000" w:themeColor="text1"/>
          <w:sz w:val="24"/>
          <w:szCs w:val="24"/>
          <w:lang w:val="ro-MD"/>
        </w:rPr>
        <w:t xml:space="preserve"> urmează să îmbrace forma unui contract individual de muncă, </w:t>
      </w:r>
      <w:r w:rsidR="000B6317" w:rsidRPr="00483DC7">
        <w:rPr>
          <w:rFonts w:ascii="Times New Roman" w:hAnsi="Times New Roman" w:cs="Times New Roman"/>
          <w:color w:val="000000" w:themeColor="text1"/>
          <w:sz w:val="24"/>
          <w:szCs w:val="24"/>
          <w:lang w:val="ro-MD"/>
        </w:rPr>
        <w:t xml:space="preserve">în </w:t>
      </w:r>
      <w:r w:rsidR="00DD45FF" w:rsidRPr="00483DC7">
        <w:rPr>
          <w:rFonts w:ascii="Times New Roman" w:hAnsi="Times New Roman" w:cs="Times New Roman"/>
          <w:color w:val="000000" w:themeColor="text1"/>
          <w:sz w:val="24"/>
          <w:szCs w:val="24"/>
          <w:lang w:val="ro-MD"/>
        </w:rPr>
        <w:t>conform</w:t>
      </w:r>
      <w:r w:rsidR="000B6317" w:rsidRPr="00483DC7">
        <w:rPr>
          <w:rFonts w:ascii="Times New Roman" w:hAnsi="Times New Roman" w:cs="Times New Roman"/>
          <w:color w:val="000000" w:themeColor="text1"/>
          <w:sz w:val="24"/>
          <w:szCs w:val="24"/>
          <w:lang w:val="ro-MD"/>
        </w:rPr>
        <w:t>itate cu</w:t>
      </w:r>
      <w:r w:rsidR="00DD45FF" w:rsidRPr="00483DC7">
        <w:rPr>
          <w:rFonts w:ascii="Times New Roman" w:hAnsi="Times New Roman" w:cs="Times New Roman"/>
          <w:color w:val="000000" w:themeColor="text1"/>
          <w:sz w:val="24"/>
          <w:szCs w:val="24"/>
          <w:lang w:val="ro-MD"/>
        </w:rPr>
        <w:t xml:space="preserve"> art.45-94 din Codul muncii</w:t>
      </w:r>
      <w:r w:rsidR="00DD45FF" w:rsidRPr="00483DC7">
        <w:rPr>
          <w:rStyle w:val="FootnoteReference"/>
          <w:rFonts w:ascii="Times New Roman" w:hAnsi="Times New Roman" w:cs="Times New Roman"/>
          <w:color w:val="000000" w:themeColor="text1"/>
          <w:sz w:val="24"/>
          <w:szCs w:val="24"/>
          <w:lang w:val="ro-MD"/>
        </w:rPr>
        <w:footnoteReference w:id="38"/>
      </w:r>
      <w:r w:rsidR="00DD45FF" w:rsidRPr="00483DC7">
        <w:rPr>
          <w:rFonts w:ascii="Times New Roman" w:hAnsi="Times New Roman" w:cs="Times New Roman"/>
          <w:color w:val="000000" w:themeColor="text1"/>
          <w:sz w:val="24"/>
          <w:szCs w:val="24"/>
          <w:lang w:val="ro-MD"/>
        </w:rPr>
        <w:t>.</w:t>
      </w:r>
    </w:p>
    <w:p w14:paraId="00A231D5" w14:textId="6F7580F0" w:rsidR="00EE670D" w:rsidRPr="00483DC7" w:rsidRDefault="00EE670D" w:rsidP="00EE670D">
      <w:pPr>
        <w:spacing w:before="240" w:after="0" w:line="276" w:lineRule="auto"/>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4.1.2. Activitatea unităților de coordonare, implementare și monitorizare a proiectelor finanțate prin asistența externă este evaluată în baza unor indicatori de performanță SMART (specific, măsurabil, abordabil/ de atins</w:t>
      </w:r>
      <w:r w:rsidR="00F35DF4">
        <w:rPr>
          <w:rFonts w:ascii="Times New Roman" w:hAnsi="Times New Roman" w:cs="Times New Roman"/>
          <w:b/>
          <w:sz w:val="24"/>
          <w:szCs w:val="24"/>
          <w:lang w:val="ro-MD"/>
        </w:rPr>
        <w:t>, relevant și încadrat în timp)</w:t>
      </w:r>
      <w:r w:rsidRPr="00483DC7">
        <w:rPr>
          <w:rFonts w:ascii="Times New Roman" w:hAnsi="Times New Roman" w:cs="Times New Roman"/>
          <w:b/>
          <w:sz w:val="24"/>
          <w:szCs w:val="24"/>
          <w:lang w:val="ro-MD"/>
        </w:rPr>
        <w:t>?</w:t>
      </w:r>
    </w:p>
    <w:p w14:paraId="695E5F7D" w14:textId="5ED073E6" w:rsidR="00EE670D" w:rsidRDefault="00EE670D" w:rsidP="00EE670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procesul de monitorizare și evaluare a activității UIPFAE, indicatorii de performanță reprezintă un set de măsuri cuantificabile, utilizate pentru a măsura schimbările parvenite în procesul de atingere a obiectivelor prestabilite. Indiferent de domeniul în care activează entitatea, indicatorii de performanță trebuie să respecte anumite criterii, reunite sub acronimul SMART: Specific, Măsurabil, Abordabil, Relevant și încadrat în Timp.  </w:t>
      </w:r>
    </w:p>
    <w:p w14:paraId="7DFB29EC" w14:textId="779AA512" w:rsidR="006C23AF" w:rsidRDefault="006C23AF" w:rsidP="00EE670D">
      <w:pPr>
        <w:spacing w:after="0" w:line="276" w:lineRule="auto"/>
        <w:ind w:firstLine="709"/>
        <w:jc w:val="both"/>
        <w:rPr>
          <w:rFonts w:ascii="Times New Roman" w:hAnsi="Times New Roman" w:cs="Times New Roman"/>
          <w:sz w:val="24"/>
          <w:szCs w:val="24"/>
          <w:lang w:val="ro-MD"/>
        </w:rPr>
      </w:pPr>
    </w:p>
    <w:p w14:paraId="02BB9CB4" w14:textId="40730885" w:rsidR="006C23AF" w:rsidRDefault="006C23AF" w:rsidP="00EE670D">
      <w:pPr>
        <w:spacing w:after="0" w:line="276" w:lineRule="auto"/>
        <w:ind w:firstLine="709"/>
        <w:jc w:val="both"/>
        <w:rPr>
          <w:rFonts w:ascii="Times New Roman" w:hAnsi="Times New Roman" w:cs="Times New Roman"/>
          <w:sz w:val="24"/>
          <w:szCs w:val="24"/>
          <w:lang w:val="ro-MD"/>
        </w:rPr>
      </w:pPr>
    </w:p>
    <w:p w14:paraId="181AB900" w14:textId="77777777" w:rsidR="006C23AF" w:rsidRPr="00483DC7" w:rsidRDefault="006C23AF" w:rsidP="00EE670D">
      <w:pPr>
        <w:spacing w:after="0" w:line="276" w:lineRule="auto"/>
        <w:ind w:firstLine="709"/>
        <w:jc w:val="both"/>
        <w:rPr>
          <w:rFonts w:ascii="Times New Roman" w:hAnsi="Times New Roman" w:cs="Times New Roman"/>
          <w:sz w:val="24"/>
          <w:szCs w:val="24"/>
          <w:lang w:val="ro-MD"/>
        </w:rPr>
      </w:pPr>
    </w:p>
    <w:tbl>
      <w:tblPr>
        <w:tblStyle w:val="TableGrid"/>
        <w:tblW w:w="0" w:type="auto"/>
        <w:tblLook w:val="04A0" w:firstRow="1" w:lastRow="0" w:firstColumn="1" w:lastColumn="0" w:noHBand="0" w:noVBand="1"/>
      </w:tblPr>
      <w:tblGrid>
        <w:gridCol w:w="1676"/>
        <w:gridCol w:w="7671"/>
      </w:tblGrid>
      <w:tr w:rsidR="00EE670D" w:rsidRPr="00483DC7" w14:paraId="345189A3" w14:textId="77777777" w:rsidTr="00EE670D">
        <w:trPr>
          <w:trHeight w:val="535"/>
        </w:trPr>
        <w:tc>
          <w:tcPr>
            <w:tcW w:w="9678" w:type="dxa"/>
            <w:gridSpan w:val="2"/>
            <w:tcBorders>
              <w:top w:val="single" w:sz="4" w:space="0" w:color="FFFFFF"/>
              <w:left w:val="single" w:sz="4" w:space="0" w:color="FFFFFF"/>
              <w:right w:val="single" w:sz="4" w:space="0" w:color="FFFFFF"/>
            </w:tcBorders>
          </w:tcPr>
          <w:p w14:paraId="64823792" w14:textId="77777777" w:rsidR="00EE670D" w:rsidRPr="00483DC7" w:rsidRDefault="00EE670D" w:rsidP="00EE670D">
            <w:pPr>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Tabelul nr.4</w:t>
            </w:r>
          </w:p>
          <w:p w14:paraId="729AB653" w14:textId="77777777" w:rsidR="00EE670D" w:rsidRPr="00483DC7" w:rsidRDefault="00EE670D" w:rsidP="00EE670D">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Particularitățile cerințelor SMART pentru indicatorii de performanță</w:t>
            </w:r>
          </w:p>
        </w:tc>
      </w:tr>
      <w:tr w:rsidR="00EE670D" w:rsidRPr="00483DC7" w14:paraId="5C355E9A" w14:textId="77777777" w:rsidTr="00EE670D">
        <w:tc>
          <w:tcPr>
            <w:tcW w:w="1696" w:type="dxa"/>
            <w:shd w:val="clear" w:color="auto" w:fill="DEEAF6" w:themeFill="accent1" w:themeFillTint="33"/>
          </w:tcPr>
          <w:p w14:paraId="3719F2E1" w14:textId="77777777" w:rsidR="00EE670D" w:rsidRPr="00483DC7" w:rsidRDefault="00EE670D" w:rsidP="00EE670D">
            <w:pPr>
              <w:jc w:val="both"/>
              <w:rPr>
                <w:rFonts w:ascii="Times New Roman" w:hAnsi="Times New Roman" w:cs="Times New Roman"/>
                <w:b/>
                <w:sz w:val="20"/>
                <w:szCs w:val="20"/>
                <w:lang w:val="ro-MD"/>
              </w:rPr>
            </w:pPr>
            <w:r w:rsidRPr="00483DC7">
              <w:rPr>
                <w:rFonts w:ascii="Times New Roman" w:hAnsi="Times New Roman" w:cs="Times New Roman"/>
                <w:b/>
                <w:sz w:val="20"/>
                <w:szCs w:val="20"/>
                <w:lang w:val="ro-MD"/>
              </w:rPr>
              <w:t>Cerința SMART</w:t>
            </w:r>
          </w:p>
        </w:tc>
        <w:tc>
          <w:tcPr>
            <w:tcW w:w="7982" w:type="dxa"/>
            <w:shd w:val="clear" w:color="auto" w:fill="DEEAF6" w:themeFill="accent1" w:themeFillTint="33"/>
          </w:tcPr>
          <w:p w14:paraId="79877235" w14:textId="77777777" w:rsidR="00EE670D" w:rsidRPr="00483DC7" w:rsidRDefault="00EE670D" w:rsidP="00EE670D">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Descrierea cerinței</w:t>
            </w:r>
          </w:p>
        </w:tc>
      </w:tr>
      <w:tr w:rsidR="00EE670D" w:rsidRPr="00483DC7" w14:paraId="28E5FF4B" w14:textId="77777777" w:rsidTr="00EE670D">
        <w:tc>
          <w:tcPr>
            <w:tcW w:w="1696" w:type="dxa"/>
          </w:tcPr>
          <w:p w14:paraId="067B23D3"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Specific</w:t>
            </w:r>
          </w:p>
        </w:tc>
        <w:tc>
          <w:tcPr>
            <w:tcW w:w="7982" w:type="dxa"/>
          </w:tcPr>
          <w:p w14:paraId="3D19FC04"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i/>
                <w:sz w:val="20"/>
                <w:szCs w:val="20"/>
                <w:lang w:val="ro-MD"/>
              </w:rPr>
              <w:t xml:space="preserve">Ce trebuie de realizat? </w:t>
            </w:r>
            <w:r w:rsidRPr="00483DC7">
              <w:rPr>
                <w:rFonts w:ascii="Times New Roman" w:hAnsi="Times New Roman" w:cs="Times New Roman"/>
                <w:sz w:val="20"/>
                <w:szCs w:val="20"/>
                <w:lang w:val="ro-MD"/>
              </w:rPr>
              <w:t>Indicatorul trebuie să poată fi tradus în termeni operaționali și făcut vizibil.</w:t>
            </w:r>
          </w:p>
        </w:tc>
      </w:tr>
      <w:tr w:rsidR="00EE670D" w:rsidRPr="00483DC7" w14:paraId="40EED011" w14:textId="77777777" w:rsidTr="00EE670D">
        <w:tc>
          <w:tcPr>
            <w:tcW w:w="1696" w:type="dxa"/>
          </w:tcPr>
          <w:p w14:paraId="1A7FB1EC"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Măsurabil</w:t>
            </w:r>
          </w:p>
        </w:tc>
        <w:tc>
          <w:tcPr>
            <w:tcW w:w="7982" w:type="dxa"/>
          </w:tcPr>
          <w:p w14:paraId="2FD95DC3"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i/>
                <w:sz w:val="20"/>
                <w:szCs w:val="20"/>
                <w:lang w:val="ro-MD"/>
              </w:rPr>
              <w:t>Cum aflăm dacă a fost realizat sau nu?</w:t>
            </w:r>
            <w:r w:rsidRPr="00483DC7">
              <w:rPr>
                <w:rFonts w:ascii="Times New Roman" w:hAnsi="Times New Roman" w:cs="Times New Roman"/>
                <w:sz w:val="20"/>
                <w:szCs w:val="20"/>
                <w:lang w:val="ro-MD"/>
              </w:rPr>
              <w:t xml:space="preserve"> Indicatorul trebuie să permită o evaluare în raport cu un anumit standard (valoare de referință), adică să poată fi numărat, analizat, testat și contestat.</w:t>
            </w:r>
          </w:p>
        </w:tc>
      </w:tr>
      <w:tr w:rsidR="00EE670D" w:rsidRPr="00483DC7" w14:paraId="6FACE691" w14:textId="77777777" w:rsidTr="00EE670D">
        <w:tc>
          <w:tcPr>
            <w:tcW w:w="1696" w:type="dxa"/>
          </w:tcPr>
          <w:p w14:paraId="24B0E7EE"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Abordabil/de atins</w:t>
            </w:r>
          </w:p>
        </w:tc>
        <w:tc>
          <w:tcPr>
            <w:tcW w:w="7982" w:type="dxa"/>
          </w:tcPr>
          <w:p w14:paraId="31BE6170" w14:textId="4827242F" w:rsidR="00EE670D" w:rsidRPr="00483DC7" w:rsidRDefault="00F35DF4" w:rsidP="00EE670D">
            <w:pPr>
              <w:jc w:val="both"/>
              <w:rPr>
                <w:rFonts w:ascii="Times New Roman" w:hAnsi="Times New Roman" w:cs="Times New Roman"/>
                <w:sz w:val="20"/>
                <w:szCs w:val="20"/>
                <w:lang w:val="ro-MD"/>
              </w:rPr>
            </w:pPr>
            <w:r>
              <w:rPr>
                <w:rFonts w:ascii="Times New Roman" w:hAnsi="Times New Roman" w:cs="Times New Roman"/>
                <w:i/>
                <w:sz w:val="20"/>
                <w:szCs w:val="20"/>
                <w:lang w:val="ro-MD"/>
              </w:rPr>
              <w:t>Ar trebui realizat</w:t>
            </w:r>
            <w:r w:rsidR="00EE670D" w:rsidRPr="00483DC7">
              <w:rPr>
                <w:rFonts w:ascii="Times New Roman" w:hAnsi="Times New Roman" w:cs="Times New Roman"/>
                <w:i/>
                <w:sz w:val="20"/>
                <w:szCs w:val="20"/>
                <w:lang w:val="ro-MD"/>
              </w:rPr>
              <w:t>?</w:t>
            </w:r>
            <w:r w:rsidR="00EE670D" w:rsidRPr="00483DC7">
              <w:rPr>
                <w:rFonts w:ascii="Times New Roman" w:hAnsi="Times New Roman" w:cs="Times New Roman"/>
                <w:sz w:val="20"/>
                <w:szCs w:val="20"/>
                <w:lang w:val="ro-MD"/>
              </w:rPr>
              <w:t xml:space="preserve"> Indicatorul trebuie să corespundă cu viziunea, scopul și obiectivele generale asumate la nivelul instituției. </w:t>
            </w:r>
          </w:p>
        </w:tc>
      </w:tr>
      <w:tr w:rsidR="00EE670D" w:rsidRPr="00483DC7" w14:paraId="5979844C" w14:textId="77777777" w:rsidTr="00EE670D">
        <w:tc>
          <w:tcPr>
            <w:tcW w:w="1696" w:type="dxa"/>
          </w:tcPr>
          <w:p w14:paraId="5716438F"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Relevant</w:t>
            </w:r>
          </w:p>
        </w:tc>
        <w:tc>
          <w:tcPr>
            <w:tcW w:w="7982" w:type="dxa"/>
          </w:tcPr>
          <w:p w14:paraId="0C2A9A99" w14:textId="7E53919B" w:rsidR="00EE670D" w:rsidRPr="00483DC7" w:rsidRDefault="00F35DF4" w:rsidP="00EE670D">
            <w:pPr>
              <w:jc w:val="both"/>
              <w:rPr>
                <w:rFonts w:ascii="Times New Roman" w:hAnsi="Times New Roman" w:cs="Times New Roman"/>
                <w:sz w:val="20"/>
                <w:szCs w:val="20"/>
                <w:lang w:val="ro-MD"/>
              </w:rPr>
            </w:pPr>
            <w:r>
              <w:rPr>
                <w:rFonts w:ascii="Times New Roman" w:hAnsi="Times New Roman" w:cs="Times New Roman"/>
                <w:i/>
                <w:sz w:val="20"/>
                <w:szCs w:val="20"/>
                <w:lang w:val="ro-MD"/>
              </w:rPr>
              <w:t>Poate fi realizat</w:t>
            </w:r>
            <w:r w:rsidR="00EE670D" w:rsidRPr="00483DC7">
              <w:rPr>
                <w:rFonts w:ascii="Times New Roman" w:hAnsi="Times New Roman" w:cs="Times New Roman"/>
                <w:i/>
                <w:sz w:val="20"/>
                <w:szCs w:val="20"/>
                <w:lang w:val="ro-MD"/>
              </w:rPr>
              <w:t>?</w:t>
            </w:r>
            <w:r w:rsidR="00EE670D" w:rsidRPr="00483DC7">
              <w:rPr>
                <w:rFonts w:ascii="Times New Roman" w:hAnsi="Times New Roman" w:cs="Times New Roman"/>
                <w:sz w:val="20"/>
                <w:szCs w:val="20"/>
                <w:lang w:val="ro-MD"/>
              </w:rPr>
              <w:t xml:space="preserve"> Formularea indicatorului trebuie să țină cont de intervalul de timp, oportunitatea realizării acțiunilor, capacitățile umane și resursele financiare disponibile. </w:t>
            </w:r>
          </w:p>
        </w:tc>
      </w:tr>
      <w:tr w:rsidR="00EE670D" w:rsidRPr="00483DC7" w14:paraId="70141AF2" w14:textId="77777777" w:rsidTr="00EE670D">
        <w:tc>
          <w:tcPr>
            <w:tcW w:w="1696" w:type="dxa"/>
          </w:tcPr>
          <w:p w14:paraId="25D5319A" w14:textId="77777777" w:rsidR="00EE670D" w:rsidRPr="00483DC7" w:rsidRDefault="00EE670D" w:rsidP="00EE670D">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Încadrat în Timp</w:t>
            </w:r>
          </w:p>
        </w:tc>
        <w:tc>
          <w:tcPr>
            <w:tcW w:w="7982" w:type="dxa"/>
          </w:tcPr>
          <w:p w14:paraId="7EDC9A30" w14:textId="6349FA5D" w:rsidR="00EE670D" w:rsidRPr="00483DC7" w:rsidRDefault="00F35DF4" w:rsidP="00EE670D">
            <w:pPr>
              <w:jc w:val="both"/>
              <w:rPr>
                <w:rFonts w:ascii="Times New Roman" w:hAnsi="Times New Roman" w:cs="Times New Roman"/>
                <w:i/>
                <w:caps/>
                <w:sz w:val="20"/>
                <w:szCs w:val="20"/>
                <w:lang w:val="ro-MD"/>
              </w:rPr>
            </w:pPr>
            <w:r>
              <w:rPr>
                <w:rFonts w:ascii="Times New Roman" w:hAnsi="Times New Roman" w:cs="Times New Roman"/>
                <w:i/>
                <w:sz w:val="20"/>
                <w:szCs w:val="20"/>
                <w:lang w:val="ro-MD"/>
              </w:rPr>
              <w:t>Când va fi realizat</w:t>
            </w:r>
            <w:r w:rsidR="00EE670D" w:rsidRPr="00483DC7">
              <w:rPr>
                <w:rFonts w:ascii="Times New Roman" w:hAnsi="Times New Roman" w:cs="Times New Roman"/>
                <w:i/>
                <w:sz w:val="20"/>
                <w:szCs w:val="20"/>
                <w:lang w:val="ro-MD"/>
              </w:rPr>
              <w:t>?</w:t>
            </w:r>
            <w:r w:rsidR="00EE670D" w:rsidRPr="00483DC7">
              <w:rPr>
                <w:rFonts w:ascii="Times New Roman" w:hAnsi="Times New Roman" w:cs="Times New Roman"/>
                <w:sz w:val="20"/>
                <w:szCs w:val="20"/>
                <w:lang w:val="ro-MD"/>
              </w:rPr>
              <w:t xml:space="preserve"> Indicatorul trebuie să fie încadrat realist în timp.   </w:t>
            </w:r>
          </w:p>
        </w:tc>
      </w:tr>
      <w:tr w:rsidR="00EE670D" w:rsidRPr="00483DC7" w14:paraId="076B8146" w14:textId="77777777" w:rsidTr="00EE670D">
        <w:tc>
          <w:tcPr>
            <w:tcW w:w="9678" w:type="dxa"/>
            <w:gridSpan w:val="2"/>
            <w:tcBorders>
              <w:left w:val="single" w:sz="4" w:space="0" w:color="FFFFFF"/>
              <w:bottom w:val="single" w:sz="4" w:space="0" w:color="FFFFFF"/>
              <w:right w:val="single" w:sz="4" w:space="0" w:color="FFFFFF"/>
            </w:tcBorders>
          </w:tcPr>
          <w:p w14:paraId="4E5AAB53" w14:textId="1F3687DB" w:rsidR="00EE670D" w:rsidRPr="00483DC7" w:rsidRDefault="00EE670D" w:rsidP="00EE670D">
            <w:pPr>
              <w:jc w:val="center"/>
              <w:rPr>
                <w:rFonts w:ascii="Times New Roman" w:hAnsi="Times New Roman" w:cs="Times New Roman"/>
                <w:i/>
                <w:sz w:val="20"/>
                <w:szCs w:val="20"/>
                <w:lang w:val="ro-MD"/>
              </w:rPr>
            </w:pPr>
            <w:r w:rsidRPr="00483DC7">
              <w:rPr>
                <w:rFonts w:ascii="Times New Roman" w:hAnsi="Times New Roman" w:cs="Times New Roman"/>
                <w:i/>
                <w:sz w:val="20"/>
                <w:szCs w:val="20"/>
                <w:lang w:val="ro-MD"/>
              </w:rPr>
              <w:t>Sursa: Întocmit de către audit</w:t>
            </w:r>
            <w:r w:rsidR="00F35DF4">
              <w:rPr>
                <w:rFonts w:ascii="Times New Roman" w:hAnsi="Times New Roman" w:cs="Times New Roman"/>
                <w:i/>
                <w:sz w:val="20"/>
                <w:szCs w:val="20"/>
                <w:lang w:val="ro-MD"/>
              </w:rPr>
              <w:t xml:space="preserve"> ca</w:t>
            </w:r>
            <w:r w:rsidRPr="00483DC7">
              <w:rPr>
                <w:rFonts w:ascii="Times New Roman" w:hAnsi="Times New Roman" w:cs="Times New Roman"/>
                <w:i/>
                <w:sz w:val="20"/>
                <w:szCs w:val="20"/>
                <w:lang w:val="ro-MD"/>
              </w:rPr>
              <w:t xml:space="preserve"> urmare a analizei literaturii de specialitate. </w:t>
            </w:r>
          </w:p>
        </w:tc>
      </w:tr>
    </w:tbl>
    <w:p w14:paraId="424B000B" w14:textId="225ED59D" w:rsidR="00EE670D" w:rsidRPr="00483DC7" w:rsidRDefault="00EE670D" w:rsidP="00EE670D">
      <w:pPr>
        <w:spacing w:before="240"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potrivit HG nr.386/2020</w:t>
      </w:r>
      <w:r w:rsidRPr="00483DC7">
        <w:rPr>
          <w:rStyle w:val="FootnoteReference"/>
          <w:rFonts w:ascii="Times New Roman" w:hAnsi="Times New Roman" w:cs="Times New Roman"/>
          <w:sz w:val="24"/>
          <w:szCs w:val="24"/>
          <w:lang w:val="ro-MD"/>
        </w:rPr>
        <w:footnoteReference w:id="39"/>
      </w:r>
      <w:r w:rsidR="00F35DF4">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indicatorii de impact/de monitorizare urmează a fi aprobați în documentele de planificare și documentele de politici publice cu scopul de a prezenta valorile de referință, prin intermediul cărora este evaluat nivelul de realizare a fiecărui obiectiv general sau specific, cu dezagregarea disponibilă conform criteriilor de gen, vârstă, mediu de reședință, statut socioeconomic, etnie, statut migrațional etc.</w:t>
      </w:r>
    </w:p>
    <w:p w14:paraId="235DB86B" w14:textId="3A6EE2BA" w:rsidR="00664301" w:rsidRPr="00483DC7" w:rsidRDefault="00EE670D" w:rsidP="002C5F5E">
      <w:pPr>
        <w:spacing w:after="0" w:line="276" w:lineRule="auto"/>
        <w:ind w:firstLine="709"/>
        <w:jc w:val="both"/>
        <w:rPr>
          <w:rFonts w:ascii="Times New Roman" w:hAnsi="Times New Roman" w:cs="Times New Roman"/>
          <w:i/>
          <w:sz w:val="24"/>
          <w:szCs w:val="24"/>
          <w:lang w:val="ro-MD"/>
        </w:rPr>
      </w:pPr>
      <w:r w:rsidRPr="00483DC7">
        <w:rPr>
          <w:rFonts w:ascii="Times New Roman" w:hAnsi="Times New Roman" w:cs="Times New Roman"/>
          <w:i/>
          <w:sz w:val="24"/>
          <w:szCs w:val="24"/>
          <w:lang w:val="ro-MD"/>
        </w:rPr>
        <w:t xml:space="preserve">Probele de audit denotă că, deși </w:t>
      </w:r>
      <w:r w:rsidR="00664301" w:rsidRPr="00483DC7">
        <w:rPr>
          <w:rFonts w:ascii="Times New Roman" w:hAnsi="Times New Roman" w:cs="Times New Roman"/>
          <w:i/>
          <w:sz w:val="24"/>
          <w:szCs w:val="24"/>
          <w:lang w:val="ro-MD"/>
        </w:rPr>
        <w:t xml:space="preserve">la nivel de program/proiect finanțat din surse externe UIPFAE au stabiliți indicatori de progres și de rezultat, agreați de partenerii de dezvoltare, la nivel strategic și instituțional, indicatorii de performanță stabiliți nu întrunesc în măsură deplină cerințele SMART, </w:t>
      </w:r>
      <w:r w:rsidR="002C5F5E" w:rsidRPr="00483DC7">
        <w:rPr>
          <w:rFonts w:ascii="Times New Roman" w:hAnsi="Times New Roman" w:cs="Times New Roman"/>
          <w:i/>
          <w:sz w:val="24"/>
          <w:szCs w:val="24"/>
          <w:lang w:val="ro-MD"/>
        </w:rPr>
        <w:t xml:space="preserve">ceea ce privează coordonatorul național de datele și instrumentele adecvate și suficiente pentru </w:t>
      </w:r>
      <w:r w:rsidR="00664301" w:rsidRPr="00483DC7">
        <w:rPr>
          <w:rFonts w:ascii="Times New Roman" w:hAnsi="Times New Roman" w:cs="Times New Roman"/>
          <w:i/>
          <w:sz w:val="24"/>
          <w:szCs w:val="24"/>
          <w:lang w:val="ro-MD"/>
        </w:rPr>
        <w:t>monitorizare</w:t>
      </w:r>
      <w:r w:rsidR="002C5F5E" w:rsidRPr="00483DC7">
        <w:rPr>
          <w:rFonts w:ascii="Times New Roman" w:hAnsi="Times New Roman" w:cs="Times New Roman"/>
          <w:i/>
          <w:sz w:val="24"/>
          <w:szCs w:val="24"/>
          <w:lang w:val="ro-MD"/>
        </w:rPr>
        <w:t>a</w:t>
      </w:r>
      <w:r w:rsidR="00664301" w:rsidRPr="00483DC7">
        <w:rPr>
          <w:rFonts w:ascii="Times New Roman" w:hAnsi="Times New Roman" w:cs="Times New Roman"/>
          <w:i/>
          <w:sz w:val="24"/>
          <w:szCs w:val="24"/>
          <w:lang w:val="ro-MD"/>
        </w:rPr>
        <w:t xml:space="preserve"> și evaluarea activității </w:t>
      </w:r>
      <w:r w:rsidR="002C5F5E" w:rsidRPr="00483DC7">
        <w:rPr>
          <w:rFonts w:ascii="Times New Roman" w:hAnsi="Times New Roman" w:cs="Times New Roman"/>
          <w:i/>
          <w:sz w:val="24"/>
          <w:szCs w:val="24"/>
          <w:lang w:val="ro-MD"/>
        </w:rPr>
        <w:t>UIPFAE.</w:t>
      </w:r>
    </w:p>
    <w:p w14:paraId="5B1629BA" w14:textId="3143D9C2" w:rsidR="00664301" w:rsidRPr="00483DC7" w:rsidRDefault="00664301" w:rsidP="00664301">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acest context, </w:t>
      </w:r>
      <w:r w:rsidR="00F35DF4">
        <w:rPr>
          <w:rFonts w:ascii="Times New Roman" w:hAnsi="Times New Roman" w:cs="Times New Roman"/>
          <w:sz w:val="24"/>
          <w:szCs w:val="24"/>
          <w:lang w:val="ro-MD"/>
        </w:rPr>
        <w:t>auditul exemplifică următoarele.</w:t>
      </w:r>
    </w:p>
    <w:p w14:paraId="033C3A43" w14:textId="77777777" w:rsidR="00C16151" w:rsidRPr="00483DC7" w:rsidRDefault="00C16151" w:rsidP="00C16151">
      <w:pPr>
        <w:spacing w:before="240" w:after="0"/>
        <w:jc w:val="both"/>
        <w:rPr>
          <w:rFonts w:ascii="Times New Roman" w:hAnsi="Times New Roman" w:cs="Times New Roman"/>
          <w:b/>
          <w:sz w:val="24"/>
          <w:szCs w:val="24"/>
          <w:lang w:val="ro-MD"/>
        </w:rPr>
      </w:pPr>
      <w:bookmarkStart w:id="18" w:name="_Toc180532862"/>
      <w:r w:rsidRPr="00483DC7">
        <w:rPr>
          <w:rFonts w:ascii="Times New Roman" w:hAnsi="Times New Roman" w:cs="Times New Roman"/>
          <w:b/>
          <w:sz w:val="24"/>
          <w:szCs w:val="24"/>
          <w:lang w:val="ro-MD"/>
        </w:rPr>
        <w:t>4.1.2.1. În perioada auditată, nu s-au respectat principiile generale de conexiune între documentele de politici publice și documentele de planificare, fapt ce a influențat calitatea indicatorilor de performanță prestabiliți.</w:t>
      </w:r>
    </w:p>
    <w:p w14:paraId="3893CB9F" w14:textId="03691AD2" w:rsidR="00C16151" w:rsidRPr="00483DC7" w:rsidRDefault="00C16151" w:rsidP="00CC4963">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Pentru a asigura succesul proiectelor implementate, este esențială alinierea scopului, obiectivelor și indicatorilor de performanță </w:t>
      </w:r>
      <w:r w:rsidR="00FC5A14" w:rsidRPr="00483DC7">
        <w:rPr>
          <w:rFonts w:ascii="Times New Roman" w:hAnsi="Times New Roman" w:cs="Times New Roman"/>
          <w:sz w:val="24"/>
          <w:szCs w:val="24"/>
          <w:lang w:val="ro-MD"/>
        </w:rPr>
        <w:t>ale UIPFAE cu</w:t>
      </w:r>
      <w:r w:rsidRPr="00483DC7">
        <w:rPr>
          <w:rFonts w:ascii="Times New Roman" w:hAnsi="Times New Roman" w:cs="Times New Roman"/>
          <w:sz w:val="24"/>
          <w:szCs w:val="24"/>
          <w:lang w:val="ro-MD"/>
        </w:rPr>
        <w:t xml:space="preserve"> documentele de politici naționale și sectoriale (strategii, programe, politici etc</w:t>
      </w:r>
      <w:r w:rsidR="00F35DF4">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astfel încât să se asigure trasabilitatea, consecvența logică și planificarea de soluții eficiente (vezi </w:t>
      </w:r>
      <w:r w:rsidR="00AD19EA" w:rsidRPr="00483DC7">
        <w:rPr>
          <w:rFonts w:ascii="Times New Roman" w:hAnsi="Times New Roman" w:cs="Times New Roman"/>
          <w:b/>
          <w:sz w:val="24"/>
          <w:szCs w:val="24"/>
          <w:lang w:val="ro-MD"/>
        </w:rPr>
        <w:t>Anexa nr.3</w:t>
      </w:r>
      <w:r w:rsidR="004A0E36">
        <w:rPr>
          <w:rFonts w:ascii="Times New Roman" w:hAnsi="Times New Roman" w:cs="Times New Roman"/>
          <w:b/>
          <w:sz w:val="24"/>
          <w:szCs w:val="24"/>
          <w:lang w:val="ro-MD"/>
        </w:rPr>
        <w:t xml:space="preserve"> la Raportul de audit</w:t>
      </w:r>
      <w:r w:rsidRPr="00483DC7">
        <w:rPr>
          <w:rFonts w:ascii="Times New Roman" w:hAnsi="Times New Roman" w:cs="Times New Roman"/>
          <w:sz w:val="24"/>
          <w:szCs w:val="24"/>
          <w:lang w:val="ro-MD"/>
        </w:rPr>
        <w:t xml:space="preserve">). </w:t>
      </w:r>
    </w:p>
    <w:p w14:paraId="18F75DD8" w14:textId="1E225DDC" w:rsidR="00DC3797" w:rsidRPr="00483DC7" w:rsidRDefault="004E4B84" w:rsidP="00D77EA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Auditul</w:t>
      </w:r>
      <w:r w:rsidR="00CC4963" w:rsidRPr="00483DC7">
        <w:rPr>
          <w:rFonts w:ascii="Times New Roman" w:hAnsi="Times New Roman" w:cs="Times New Roman"/>
          <w:sz w:val="24"/>
          <w:szCs w:val="24"/>
          <w:lang w:val="ro-MD"/>
        </w:rPr>
        <w:t xml:space="preserve"> denotă că, în perioada </w:t>
      </w:r>
      <w:r w:rsidR="00E665BC" w:rsidRPr="00483DC7">
        <w:rPr>
          <w:rFonts w:ascii="Times New Roman" w:hAnsi="Times New Roman" w:cs="Times New Roman"/>
          <w:sz w:val="24"/>
          <w:szCs w:val="24"/>
          <w:lang w:val="ro-MD"/>
        </w:rPr>
        <w:t>2021-</w:t>
      </w:r>
      <w:r w:rsidR="00CC4963" w:rsidRPr="00483DC7">
        <w:rPr>
          <w:rFonts w:ascii="Times New Roman" w:hAnsi="Times New Roman" w:cs="Times New Roman"/>
          <w:sz w:val="24"/>
          <w:szCs w:val="24"/>
          <w:lang w:val="ro-MD"/>
        </w:rPr>
        <w:t>2022, Republica Moldova nu avea o Strategie națională</w:t>
      </w:r>
      <w:r w:rsidR="0048431B" w:rsidRPr="00483DC7">
        <w:rPr>
          <w:rFonts w:ascii="Times New Roman" w:hAnsi="Times New Roman" w:cs="Times New Roman"/>
          <w:sz w:val="24"/>
          <w:szCs w:val="24"/>
          <w:lang w:val="ro-MD"/>
        </w:rPr>
        <w:t xml:space="preserve"> de dezvoltare</w:t>
      </w:r>
      <w:r w:rsidR="00CC4963" w:rsidRPr="00483DC7">
        <w:rPr>
          <w:rFonts w:ascii="Times New Roman" w:hAnsi="Times New Roman" w:cs="Times New Roman"/>
          <w:sz w:val="24"/>
          <w:szCs w:val="24"/>
          <w:lang w:val="ro-MD"/>
        </w:rPr>
        <w:t xml:space="preserve"> în derulare, </w:t>
      </w:r>
      <w:r w:rsidR="0048431B" w:rsidRPr="00483DC7">
        <w:rPr>
          <w:rFonts w:ascii="Times New Roman" w:hAnsi="Times New Roman" w:cs="Times New Roman"/>
          <w:sz w:val="24"/>
          <w:szCs w:val="24"/>
          <w:lang w:val="ro-MD"/>
        </w:rPr>
        <w:t>S</w:t>
      </w:r>
      <w:r w:rsidR="00CC4963" w:rsidRPr="00483DC7">
        <w:rPr>
          <w:rFonts w:ascii="Times New Roman" w:hAnsi="Times New Roman" w:cs="Times New Roman"/>
          <w:sz w:val="24"/>
          <w:szCs w:val="24"/>
          <w:lang w:val="ro-MD"/>
        </w:rPr>
        <w:t xml:space="preserve">trategia </w:t>
      </w:r>
      <w:r w:rsidR="0048431B" w:rsidRPr="00483DC7">
        <w:rPr>
          <w:rFonts w:ascii="Times New Roman" w:hAnsi="Times New Roman" w:cs="Times New Roman"/>
          <w:sz w:val="24"/>
          <w:szCs w:val="24"/>
          <w:lang w:val="ro-MD"/>
        </w:rPr>
        <w:t>precedentă</w:t>
      </w:r>
      <w:r w:rsidR="00CC4963" w:rsidRPr="00483DC7">
        <w:rPr>
          <w:rFonts w:ascii="Times New Roman" w:hAnsi="Times New Roman" w:cs="Times New Roman"/>
          <w:sz w:val="24"/>
          <w:szCs w:val="24"/>
          <w:lang w:val="ro-MD"/>
        </w:rPr>
        <w:t xml:space="preserve"> „Moldova 2020”</w:t>
      </w:r>
      <w:r w:rsidR="0048431B" w:rsidRPr="00483DC7">
        <w:rPr>
          <w:rStyle w:val="FootnoteReference"/>
          <w:rFonts w:ascii="Times New Roman" w:hAnsi="Times New Roman" w:cs="Times New Roman"/>
          <w:sz w:val="24"/>
          <w:szCs w:val="24"/>
          <w:lang w:val="ro-MD"/>
        </w:rPr>
        <w:footnoteReference w:id="40"/>
      </w:r>
      <w:r w:rsidR="00CC4963" w:rsidRPr="00483DC7">
        <w:rPr>
          <w:rFonts w:ascii="Times New Roman" w:hAnsi="Times New Roman" w:cs="Times New Roman"/>
          <w:sz w:val="24"/>
          <w:szCs w:val="24"/>
          <w:lang w:val="ro-MD"/>
        </w:rPr>
        <w:t xml:space="preserve"> </w:t>
      </w:r>
      <w:r w:rsidR="00A87BCE">
        <w:rPr>
          <w:rFonts w:ascii="Times New Roman" w:hAnsi="Times New Roman" w:cs="Times New Roman"/>
          <w:sz w:val="24"/>
          <w:szCs w:val="24"/>
          <w:lang w:val="ro-MD"/>
        </w:rPr>
        <w:t>încheindu-și</w:t>
      </w:r>
      <w:r w:rsidR="00CC4963" w:rsidRPr="00483DC7">
        <w:rPr>
          <w:rFonts w:ascii="Times New Roman" w:hAnsi="Times New Roman" w:cs="Times New Roman"/>
          <w:sz w:val="24"/>
          <w:szCs w:val="24"/>
          <w:lang w:val="ro-MD"/>
        </w:rPr>
        <w:t xml:space="preserve"> acțiunea în anul 2020, iar noua Strategie „Moldova Europeană 2030”</w:t>
      </w:r>
      <w:r w:rsidR="0048431B" w:rsidRPr="00483DC7">
        <w:rPr>
          <w:rStyle w:val="FootnoteReference"/>
          <w:rFonts w:ascii="Times New Roman" w:hAnsi="Times New Roman" w:cs="Times New Roman"/>
          <w:sz w:val="24"/>
          <w:szCs w:val="24"/>
          <w:lang w:val="ro-MD"/>
        </w:rPr>
        <w:footnoteReference w:id="41"/>
      </w:r>
      <w:r w:rsidR="0048431B" w:rsidRPr="00483DC7">
        <w:rPr>
          <w:rFonts w:ascii="Times New Roman" w:hAnsi="Times New Roman" w:cs="Times New Roman"/>
          <w:sz w:val="24"/>
          <w:szCs w:val="24"/>
          <w:lang w:val="ro-MD"/>
        </w:rPr>
        <w:t xml:space="preserve"> a devenit operațională din anul 2023. Prin urmare, în acest interval</w:t>
      </w:r>
      <w:r w:rsidR="00B13C42">
        <w:rPr>
          <w:rFonts w:ascii="Times New Roman" w:hAnsi="Times New Roman" w:cs="Times New Roman"/>
          <w:sz w:val="24"/>
          <w:szCs w:val="24"/>
          <w:lang w:val="ro-MD"/>
        </w:rPr>
        <w:t xml:space="preserve"> de timp</w:t>
      </w:r>
      <w:r w:rsidR="0048431B" w:rsidRPr="00483DC7">
        <w:rPr>
          <w:rFonts w:ascii="Times New Roman" w:hAnsi="Times New Roman" w:cs="Times New Roman"/>
          <w:sz w:val="24"/>
          <w:szCs w:val="24"/>
          <w:lang w:val="ro-MD"/>
        </w:rPr>
        <w:t xml:space="preserve"> </w:t>
      </w:r>
      <w:r w:rsidR="006764A2" w:rsidRPr="00483DC7">
        <w:rPr>
          <w:rFonts w:ascii="Times New Roman" w:hAnsi="Times New Roman" w:cs="Times New Roman"/>
          <w:sz w:val="24"/>
          <w:szCs w:val="24"/>
          <w:lang w:val="ro-MD"/>
        </w:rPr>
        <w:t xml:space="preserve">viziunea de dezvoltare pe termen mediu și lung a Republicii Moldova </w:t>
      </w:r>
      <w:r w:rsidR="00DC3797" w:rsidRPr="00483DC7">
        <w:rPr>
          <w:rFonts w:ascii="Times New Roman" w:hAnsi="Times New Roman" w:cs="Times New Roman"/>
          <w:sz w:val="24"/>
          <w:szCs w:val="24"/>
          <w:lang w:val="ro-MD"/>
        </w:rPr>
        <w:t>a fost</w:t>
      </w:r>
      <w:r w:rsidR="006764A2" w:rsidRPr="00483DC7">
        <w:rPr>
          <w:rFonts w:ascii="Times New Roman" w:hAnsi="Times New Roman" w:cs="Times New Roman"/>
          <w:sz w:val="24"/>
          <w:szCs w:val="24"/>
          <w:lang w:val="ro-MD"/>
        </w:rPr>
        <w:t xml:space="preserve"> coordonată doar de către politicile sec</w:t>
      </w:r>
      <w:r w:rsidR="00D77EAD" w:rsidRPr="00483DC7">
        <w:rPr>
          <w:rFonts w:ascii="Times New Roman" w:hAnsi="Times New Roman" w:cs="Times New Roman"/>
          <w:sz w:val="24"/>
          <w:szCs w:val="24"/>
          <w:lang w:val="ro-MD"/>
        </w:rPr>
        <w:t xml:space="preserve">toriale pentru anumite domenii. </w:t>
      </w:r>
    </w:p>
    <w:p w14:paraId="64D7F218" w14:textId="77777777" w:rsidR="0026672F" w:rsidRPr="00483DC7" w:rsidRDefault="0026672F" w:rsidP="00DC3797">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Analiza comparativă a indicatorilor de performanță stabiliți în strategiile nominalizate scoate în evidență faptul că Strategia „Moldova 2020” include indicatori de performanță mai generali și deseori concentrați pe aspecte economice cuantificabile, cum ar fi: PIB-ul pe cap de locuitor, rata șomajului sau accesul la educație și infrastructura de bază. Indicatorii de performanță au fost concepuți în principal pentru a urmări creșterea economică și dezvoltarea infrastructurii. </w:t>
      </w:r>
    </w:p>
    <w:p w14:paraId="4B6F7FA0" w14:textId="77777777" w:rsidR="00573A83" w:rsidRPr="00483DC7" w:rsidRDefault="0026672F" w:rsidP="00B04DD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schimb, Strategia „Moldova Europeană 2030” definește indicatori mult mai variați și detaliați, </w:t>
      </w:r>
      <w:r w:rsidR="00F343A2" w:rsidRPr="00483DC7">
        <w:rPr>
          <w:rFonts w:ascii="Times New Roman" w:hAnsi="Times New Roman" w:cs="Times New Roman"/>
          <w:sz w:val="24"/>
          <w:szCs w:val="24"/>
          <w:lang w:val="ro-MD"/>
        </w:rPr>
        <w:t>adaptați la cerințele europene, fiind evidențiată o viziune clară pe termen lung</w:t>
      </w:r>
      <w:r w:rsidR="00AB7086" w:rsidRPr="00483DC7">
        <w:rPr>
          <w:rFonts w:ascii="Times New Roman" w:hAnsi="Times New Roman" w:cs="Times New Roman"/>
          <w:sz w:val="24"/>
          <w:szCs w:val="24"/>
          <w:lang w:val="ro-MD"/>
        </w:rPr>
        <w:t>, orientat</w:t>
      </w:r>
      <w:r w:rsidR="00F343A2" w:rsidRPr="00483DC7">
        <w:rPr>
          <w:rFonts w:ascii="Times New Roman" w:hAnsi="Times New Roman" w:cs="Times New Roman"/>
          <w:sz w:val="24"/>
          <w:szCs w:val="24"/>
          <w:lang w:val="ro-MD"/>
        </w:rPr>
        <w:t>ă</w:t>
      </w:r>
      <w:r w:rsidR="00AB7086" w:rsidRPr="00483DC7">
        <w:rPr>
          <w:rFonts w:ascii="Times New Roman" w:hAnsi="Times New Roman" w:cs="Times New Roman"/>
          <w:sz w:val="24"/>
          <w:szCs w:val="24"/>
          <w:lang w:val="ro-MD"/>
        </w:rPr>
        <w:t xml:space="preserve"> preponderent spre 10 domenii specifice de dezvoltare, menite să îmbunătățească calitatea vieții în Republica Moldova.</w:t>
      </w:r>
      <w:r w:rsidR="00F343A2" w:rsidRPr="00483DC7">
        <w:rPr>
          <w:rFonts w:ascii="Times New Roman" w:hAnsi="Times New Roman" w:cs="Times New Roman"/>
          <w:sz w:val="24"/>
          <w:szCs w:val="24"/>
          <w:lang w:val="ro-MD"/>
        </w:rPr>
        <w:t xml:space="preserve"> </w:t>
      </w:r>
      <w:r w:rsidR="00573A83" w:rsidRPr="00483DC7">
        <w:rPr>
          <w:rFonts w:ascii="Times New Roman" w:hAnsi="Times New Roman" w:cs="Times New Roman"/>
          <w:sz w:val="24"/>
          <w:szCs w:val="24"/>
          <w:lang w:val="ro-MD"/>
        </w:rPr>
        <w:t xml:space="preserve">Totuși, </w:t>
      </w:r>
      <w:r w:rsidR="00F92458" w:rsidRPr="00483DC7">
        <w:rPr>
          <w:rFonts w:ascii="Times New Roman" w:hAnsi="Times New Roman" w:cs="Times New Roman"/>
          <w:sz w:val="24"/>
          <w:szCs w:val="24"/>
          <w:lang w:val="ro-MD"/>
        </w:rPr>
        <w:t>aceasta</w:t>
      </w:r>
      <w:r w:rsidR="00627DB4" w:rsidRPr="00483DC7">
        <w:rPr>
          <w:rFonts w:ascii="Times New Roman" w:hAnsi="Times New Roman" w:cs="Times New Roman"/>
          <w:sz w:val="24"/>
          <w:szCs w:val="24"/>
          <w:lang w:val="ro-MD"/>
        </w:rPr>
        <w:t xml:space="preserve"> nu prezintă un cadru</w:t>
      </w:r>
      <w:r w:rsidR="00573A83" w:rsidRPr="00483DC7">
        <w:rPr>
          <w:rFonts w:ascii="Times New Roman" w:hAnsi="Times New Roman" w:cs="Times New Roman"/>
          <w:sz w:val="24"/>
          <w:szCs w:val="24"/>
          <w:lang w:val="ro-MD"/>
        </w:rPr>
        <w:t xml:space="preserve"> exhaustiv de indicatori la nivel de </w:t>
      </w:r>
      <w:r w:rsidR="00573A83" w:rsidRPr="00483DC7">
        <w:rPr>
          <w:rFonts w:ascii="Times New Roman" w:hAnsi="Times New Roman" w:cs="Times New Roman"/>
          <w:sz w:val="24"/>
          <w:szCs w:val="24"/>
          <w:lang w:val="ro-MD"/>
        </w:rPr>
        <w:lastRenderedPageBreak/>
        <w:t>obiectiv</w:t>
      </w:r>
      <w:r w:rsidR="00627DB4" w:rsidRPr="00483DC7">
        <w:rPr>
          <w:rFonts w:ascii="Times New Roman" w:hAnsi="Times New Roman" w:cs="Times New Roman"/>
          <w:sz w:val="24"/>
          <w:szCs w:val="24"/>
          <w:lang w:val="ro-MD"/>
        </w:rPr>
        <w:t>e</w:t>
      </w:r>
      <w:r w:rsidR="00573A83" w:rsidRPr="00483DC7">
        <w:rPr>
          <w:rFonts w:ascii="Times New Roman" w:hAnsi="Times New Roman" w:cs="Times New Roman"/>
          <w:sz w:val="24"/>
          <w:szCs w:val="24"/>
          <w:lang w:val="ro-MD"/>
        </w:rPr>
        <w:t xml:space="preserve"> specific</w:t>
      </w:r>
      <w:r w:rsidR="00627DB4" w:rsidRPr="00483DC7">
        <w:rPr>
          <w:rFonts w:ascii="Times New Roman" w:hAnsi="Times New Roman" w:cs="Times New Roman"/>
          <w:sz w:val="24"/>
          <w:szCs w:val="24"/>
          <w:lang w:val="ro-MD"/>
        </w:rPr>
        <w:t>e</w:t>
      </w:r>
      <w:r w:rsidR="00573A83" w:rsidRPr="00483DC7">
        <w:rPr>
          <w:rFonts w:ascii="Times New Roman" w:hAnsi="Times New Roman" w:cs="Times New Roman"/>
          <w:sz w:val="24"/>
          <w:szCs w:val="24"/>
          <w:lang w:val="ro-MD"/>
        </w:rPr>
        <w:t xml:space="preserve">, fapt ce </w:t>
      </w:r>
      <w:r w:rsidR="00627DB4" w:rsidRPr="00483DC7">
        <w:rPr>
          <w:rFonts w:ascii="Times New Roman" w:hAnsi="Times New Roman" w:cs="Times New Roman"/>
          <w:sz w:val="24"/>
          <w:szCs w:val="24"/>
          <w:lang w:val="ro-MD"/>
        </w:rPr>
        <w:t xml:space="preserve">creează inconsecvențe în </w:t>
      </w:r>
      <w:r w:rsidR="00573A83" w:rsidRPr="00483DC7">
        <w:rPr>
          <w:rFonts w:ascii="Times New Roman" w:hAnsi="Times New Roman" w:cs="Times New Roman"/>
          <w:sz w:val="24"/>
          <w:szCs w:val="24"/>
          <w:lang w:val="ro-MD"/>
        </w:rPr>
        <w:t>monitorizarea detaliată a performanței</w:t>
      </w:r>
      <w:r w:rsidR="00627DB4" w:rsidRPr="00483DC7">
        <w:rPr>
          <w:rFonts w:ascii="Times New Roman" w:hAnsi="Times New Roman" w:cs="Times New Roman"/>
          <w:sz w:val="24"/>
          <w:szCs w:val="24"/>
          <w:lang w:val="ro-MD"/>
        </w:rPr>
        <w:t xml:space="preserve"> atinse în procesul de implementare a obiectivelor strategice naționale</w:t>
      </w:r>
      <w:r w:rsidR="00F92458" w:rsidRPr="00483DC7">
        <w:rPr>
          <w:rFonts w:ascii="Times New Roman" w:hAnsi="Times New Roman" w:cs="Times New Roman"/>
          <w:sz w:val="24"/>
          <w:szCs w:val="24"/>
          <w:lang w:val="ro-MD"/>
        </w:rPr>
        <w:t xml:space="preserve"> menționate</w:t>
      </w:r>
      <w:r w:rsidR="00627DB4" w:rsidRPr="00483DC7">
        <w:rPr>
          <w:rFonts w:ascii="Times New Roman" w:hAnsi="Times New Roman" w:cs="Times New Roman"/>
          <w:sz w:val="24"/>
          <w:szCs w:val="24"/>
          <w:lang w:val="ro-MD"/>
        </w:rPr>
        <w:t xml:space="preserve">. </w:t>
      </w:r>
      <w:r w:rsidR="00573A83" w:rsidRPr="00483DC7">
        <w:rPr>
          <w:rFonts w:ascii="Times New Roman" w:hAnsi="Times New Roman" w:cs="Times New Roman"/>
          <w:sz w:val="24"/>
          <w:szCs w:val="24"/>
          <w:lang w:val="ro-MD"/>
        </w:rPr>
        <w:t xml:space="preserve"> </w:t>
      </w:r>
    </w:p>
    <w:p w14:paraId="0F7FEF1A" w14:textId="0EE719F2" w:rsidR="00F40049" w:rsidRPr="00483DC7" w:rsidRDefault="00E665BC" w:rsidP="00B04DD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Este de remarcat</w:t>
      </w:r>
      <w:r w:rsidR="006764A2" w:rsidRPr="00483DC7">
        <w:rPr>
          <w:rFonts w:ascii="Times New Roman" w:hAnsi="Times New Roman" w:cs="Times New Roman"/>
          <w:sz w:val="24"/>
          <w:szCs w:val="24"/>
          <w:lang w:val="ro-MD"/>
        </w:rPr>
        <w:t xml:space="preserve"> faptul că, în Strategia „Moldova Europeană 2030” doar trei dintre direcțiile </w:t>
      </w:r>
      <w:r w:rsidR="00D77EAD" w:rsidRPr="00483DC7">
        <w:rPr>
          <w:rFonts w:ascii="Times New Roman" w:hAnsi="Times New Roman" w:cs="Times New Roman"/>
          <w:sz w:val="24"/>
          <w:szCs w:val="24"/>
          <w:lang w:val="ro-MD"/>
        </w:rPr>
        <w:t>strategice stabilite în strategia anterioară își păstrează continuitatea pentru perioada</w:t>
      </w:r>
      <w:r w:rsidR="00DC3797" w:rsidRPr="00483DC7">
        <w:rPr>
          <w:rFonts w:ascii="Times New Roman" w:hAnsi="Times New Roman" w:cs="Times New Roman"/>
          <w:sz w:val="24"/>
          <w:szCs w:val="24"/>
          <w:lang w:val="ro-MD"/>
        </w:rPr>
        <w:t xml:space="preserve"> </w:t>
      </w:r>
      <w:r w:rsidR="00D77EAD" w:rsidRPr="00483DC7">
        <w:rPr>
          <w:rFonts w:ascii="Times New Roman" w:hAnsi="Times New Roman" w:cs="Times New Roman"/>
          <w:sz w:val="24"/>
          <w:szCs w:val="24"/>
          <w:lang w:val="ro-MD"/>
        </w:rPr>
        <w:t>2023-2030.</w:t>
      </w:r>
      <w:r w:rsidR="00DC3797" w:rsidRPr="00483DC7">
        <w:rPr>
          <w:rFonts w:ascii="Times New Roman" w:hAnsi="Times New Roman" w:cs="Times New Roman"/>
          <w:sz w:val="24"/>
          <w:szCs w:val="24"/>
          <w:lang w:val="ro-MD"/>
        </w:rPr>
        <w:t xml:space="preserve"> </w:t>
      </w:r>
      <w:r w:rsidR="00F40049" w:rsidRPr="00483DC7">
        <w:rPr>
          <w:rFonts w:ascii="Times New Roman" w:hAnsi="Times New Roman" w:cs="Times New Roman"/>
          <w:sz w:val="24"/>
          <w:szCs w:val="24"/>
          <w:lang w:val="ro-MD"/>
        </w:rPr>
        <w:t>În acest context, auditul subliniază importanța asigurării de către Guvern a continuității domeniilor de interes în documentele strate</w:t>
      </w:r>
      <w:r w:rsidR="00F35DF4">
        <w:rPr>
          <w:rFonts w:ascii="Times New Roman" w:hAnsi="Times New Roman" w:cs="Times New Roman"/>
          <w:sz w:val="24"/>
          <w:szCs w:val="24"/>
          <w:lang w:val="ro-MD"/>
        </w:rPr>
        <w:t>gice, pentru a garanta un cadru</w:t>
      </w:r>
      <w:r w:rsidR="00F40049" w:rsidRPr="00483DC7">
        <w:rPr>
          <w:rFonts w:ascii="Times New Roman" w:hAnsi="Times New Roman" w:cs="Times New Roman"/>
          <w:sz w:val="24"/>
          <w:szCs w:val="24"/>
          <w:lang w:val="ro-MD"/>
        </w:rPr>
        <w:t xml:space="preserve"> stabil și coerent în implementarea proiectelor de dezvoltare</w:t>
      </w:r>
      <w:r w:rsidR="003A7B4F" w:rsidRPr="00483DC7">
        <w:rPr>
          <w:rFonts w:ascii="Times New Roman" w:hAnsi="Times New Roman" w:cs="Times New Roman"/>
          <w:sz w:val="24"/>
          <w:szCs w:val="24"/>
          <w:lang w:val="ro-MD"/>
        </w:rPr>
        <w:t xml:space="preserve">, inclusiv </w:t>
      </w:r>
      <w:r w:rsidR="00F35DF4">
        <w:rPr>
          <w:rFonts w:ascii="Times New Roman" w:hAnsi="Times New Roman" w:cs="Times New Roman"/>
          <w:sz w:val="24"/>
          <w:szCs w:val="24"/>
          <w:lang w:val="ro-MD"/>
        </w:rPr>
        <w:t xml:space="preserve">a </w:t>
      </w:r>
      <w:r w:rsidR="003A7B4F" w:rsidRPr="00483DC7">
        <w:rPr>
          <w:rFonts w:ascii="Times New Roman" w:hAnsi="Times New Roman" w:cs="Times New Roman"/>
          <w:sz w:val="24"/>
          <w:szCs w:val="24"/>
          <w:lang w:val="ro-MD"/>
        </w:rPr>
        <w:t>cel</w:t>
      </w:r>
      <w:r w:rsidR="00F35DF4">
        <w:rPr>
          <w:rFonts w:ascii="Times New Roman" w:hAnsi="Times New Roman" w:cs="Times New Roman"/>
          <w:sz w:val="24"/>
          <w:szCs w:val="24"/>
          <w:lang w:val="ro-MD"/>
        </w:rPr>
        <w:t>or</w:t>
      </w:r>
      <w:r w:rsidR="003A7B4F" w:rsidRPr="00483DC7">
        <w:rPr>
          <w:rFonts w:ascii="Times New Roman" w:hAnsi="Times New Roman" w:cs="Times New Roman"/>
          <w:sz w:val="24"/>
          <w:szCs w:val="24"/>
          <w:lang w:val="ro-MD"/>
        </w:rPr>
        <w:t xml:space="preserve"> finanțate din surse externe</w:t>
      </w:r>
      <w:r w:rsidR="00F40049" w:rsidRPr="00483DC7">
        <w:rPr>
          <w:rFonts w:ascii="Times New Roman" w:hAnsi="Times New Roman" w:cs="Times New Roman"/>
          <w:sz w:val="24"/>
          <w:szCs w:val="24"/>
          <w:lang w:val="ro-MD"/>
        </w:rPr>
        <w:t xml:space="preserve">. </w:t>
      </w:r>
      <w:r w:rsidR="00A87BCE">
        <w:rPr>
          <w:rFonts w:ascii="Times New Roman" w:hAnsi="Times New Roman" w:cs="Times New Roman"/>
          <w:sz w:val="24"/>
          <w:szCs w:val="24"/>
          <w:lang w:val="ro-MD"/>
        </w:rPr>
        <w:t>S</w:t>
      </w:r>
      <w:r w:rsidR="00F40049" w:rsidRPr="00483DC7">
        <w:rPr>
          <w:rFonts w:ascii="Times New Roman" w:hAnsi="Times New Roman" w:cs="Times New Roman"/>
          <w:sz w:val="24"/>
          <w:szCs w:val="24"/>
          <w:lang w:val="ro-MD"/>
        </w:rPr>
        <w:t>ituația actuală provoacă discontinuități în procesul de aliniere a obiectivelor și indicatorilor de performanță a proiectelor deja inițiate la noile priorități strategice stabilite, fapt ce ar putea afecta eficiența utilizării resurselor alocate și atingerea impactului scontat pe termen lung.</w:t>
      </w:r>
    </w:p>
    <w:p w14:paraId="3A0460FB" w14:textId="77777777" w:rsidR="003C1D04" w:rsidRPr="00483DC7" w:rsidRDefault="003A7B4F" w:rsidP="00B04DD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această ordine de idei, auditul denotă că </w:t>
      </w:r>
      <w:r w:rsidR="00F343A2" w:rsidRPr="00483DC7">
        <w:rPr>
          <w:rFonts w:ascii="Times New Roman" w:hAnsi="Times New Roman" w:cs="Times New Roman"/>
          <w:sz w:val="24"/>
          <w:szCs w:val="24"/>
          <w:lang w:val="ro-MD"/>
        </w:rPr>
        <w:t>Strategia „Moldova Europeană 2030” se bazează în mod direct</w:t>
      </w:r>
      <w:r w:rsidR="00D80152" w:rsidRPr="00483DC7">
        <w:rPr>
          <w:rFonts w:ascii="Times New Roman" w:hAnsi="Times New Roman" w:cs="Times New Roman"/>
          <w:sz w:val="24"/>
          <w:szCs w:val="24"/>
          <w:lang w:val="ro-MD"/>
        </w:rPr>
        <w:t xml:space="preserve"> pe proiectele finanțate prin asistența externă, iar indicatorii de performanță </w:t>
      </w:r>
      <w:r w:rsidR="003C1D04" w:rsidRPr="00483DC7">
        <w:rPr>
          <w:rFonts w:ascii="Times New Roman" w:hAnsi="Times New Roman" w:cs="Times New Roman"/>
          <w:sz w:val="24"/>
          <w:szCs w:val="24"/>
          <w:lang w:val="ro-MD"/>
        </w:rPr>
        <w:t xml:space="preserve">sunt adaptați pentru a răspunde cerințelor impuse de partenerii externi, ceea ce sporește eficiența monitorizării contribuției proiectelor externe la atingerea obiectivelor naționale.  </w:t>
      </w:r>
    </w:p>
    <w:p w14:paraId="17FBFBA4" w14:textId="2F152CC4" w:rsidR="00CA60F9" w:rsidRPr="00483DC7" w:rsidRDefault="003C1D04" w:rsidP="00B04DD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Totodată, </w:t>
      </w:r>
      <w:r w:rsidR="003A7B4F" w:rsidRPr="00483DC7">
        <w:rPr>
          <w:rFonts w:ascii="Times New Roman" w:hAnsi="Times New Roman" w:cs="Times New Roman"/>
          <w:sz w:val="24"/>
          <w:szCs w:val="24"/>
          <w:lang w:val="ro-MD"/>
        </w:rPr>
        <w:t>unele UIPFAE, la moment</w:t>
      </w:r>
      <w:r w:rsidR="00F912C5">
        <w:rPr>
          <w:rFonts w:ascii="Times New Roman" w:hAnsi="Times New Roman" w:cs="Times New Roman"/>
          <w:sz w:val="24"/>
          <w:szCs w:val="24"/>
          <w:lang w:val="ro-MD"/>
        </w:rPr>
        <w:t>ul actual</w:t>
      </w:r>
      <w:r w:rsidR="003A7B4F" w:rsidRPr="00483DC7">
        <w:rPr>
          <w:rFonts w:ascii="Times New Roman" w:hAnsi="Times New Roman" w:cs="Times New Roman"/>
          <w:sz w:val="24"/>
          <w:szCs w:val="24"/>
          <w:lang w:val="ro-MD"/>
        </w:rPr>
        <w:t xml:space="preserve"> nu dețin strategii pe termen lung, iar obiectivele instituționale ale acestora adesea sunt aliniate</w:t>
      </w:r>
      <w:r w:rsidRPr="00483DC7">
        <w:rPr>
          <w:rFonts w:ascii="Times New Roman" w:hAnsi="Times New Roman" w:cs="Times New Roman"/>
          <w:sz w:val="24"/>
          <w:szCs w:val="24"/>
          <w:lang w:val="ro-MD"/>
        </w:rPr>
        <w:t xml:space="preserve"> </w:t>
      </w:r>
      <w:r w:rsidR="00E855C6" w:rsidRPr="00483DC7">
        <w:rPr>
          <w:rFonts w:ascii="Times New Roman" w:hAnsi="Times New Roman" w:cs="Times New Roman"/>
          <w:sz w:val="24"/>
          <w:szCs w:val="24"/>
          <w:lang w:val="ro-MD"/>
        </w:rPr>
        <w:t xml:space="preserve">preponderent </w:t>
      </w:r>
      <w:r w:rsidR="003A7B4F" w:rsidRPr="00483DC7">
        <w:rPr>
          <w:rFonts w:ascii="Times New Roman" w:hAnsi="Times New Roman" w:cs="Times New Roman"/>
          <w:sz w:val="24"/>
          <w:szCs w:val="24"/>
          <w:lang w:val="ro-MD"/>
        </w:rPr>
        <w:t>la prioritățile</w:t>
      </w:r>
      <w:r w:rsidR="00A87BCE">
        <w:rPr>
          <w:rFonts w:ascii="Times New Roman" w:hAnsi="Times New Roman" w:cs="Times New Roman"/>
          <w:sz w:val="24"/>
          <w:szCs w:val="24"/>
          <w:lang w:val="ro-MD"/>
        </w:rPr>
        <w:t xml:space="preserve"> de finanțare a</w:t>
      </w:r>
      <w:r w:rsidR="003A7B4F" w:rsidRPr="00483DC7">
        <w:rPr>
          <w:rFonts w:ascii="Times New Roman" w:hAnsi="Times New Roman" w:cs="Times New Roman"/>
          <w:sz w:val="24"/>
          <w:szCs w:val="24"/>
          <w:lang w:val="ro-MD"/>
        </w:rPr>
        <w:t xml:space="preserve"> donatorilor externi</w:t>
      </w:r>
      <w:r w:rsidR="00EC4428" w:rsidRPr="00483DC7">
        <w:rPr>
          <w:rFonts w:ascii="Times New Roman" w:hAnsi="Times New Roman" w:cs="Times New Roman"/>
          <w:sz w:val="24"/>
          <w:szCs w:val="24"/>
          <w:lang w:val="ro-MD"/>
        </w:rPr>
        <w:t>, specificate în Acordurile de finanțare</w:t>
      </w:r>
      <w:r w:rsidR="008A14E7" w:rsidRPr="00483DC7">
        <w:rPr>
          <w:rFonts w:ascii="Times New Roman" w:hAnsi="Times New Roman" w:cs="Times New Roman"/>
          <w:sz w:val="24"/>
          <w:szCs w:val="24"/>
          <w:lang w:val="ro-MD"/>
        </w:rPr>
        <w:t xml:space="preserve"> aferente proiectelor finanțate din surse externe</w:t>
      </w:r>
      <w:r w:rsidR="00EC4428" w:rsidRPr="00483DC7">
        <w:rPr>
          <w:rFonts w:ascii="Times New Roman" w:hAnsi="Times New Roman" w:cs="Times New Roman"/>
          <w:sz w:val="24"/>
          <w:szCs w:val="24"/>
          <w:lang w:val="ro-MD"/>
        </w:rPr>
        <w:t>,</w:t>
      </w:r>
      <w:r w:rsidR="003A7B4F" w:rsidRPr="00483DC7">
        <w:rPr>
          <w:rFonts w:ascii="Times New Roman" w:hAnsi="Times New Roman" w:cs="Times New Roman"/>
          <w:sz w:val="24"/>
          <w:szCs w:val="24"/>
          <w:lang w:val="ro-MD"/>
        </w:rPr>
        <w:t xml:space="preserve"> fără a fi recunoscute concomitent ca priorități publice </w:t>
      </w:r>
      <w:r w:rsidR="006C23AF" w:rsidRPr="00483DC7">
        <w:rPr>
          <w:rFonts w:ascii="Times New Roman" w:hAnsi="Times New Roman" w:cs="Times New Roman"/>
          <w:sz w:val="24"/>
          <w:szCs w:val="24"/>
          <w:lang w:val="ro-MD"/>
        </w:rPr>
        <w:t>sectoriale</w:t>
      </w:r>
      <w:r w:rsidR="006C23AF" w:rsidRPr="00483DC7" w:rsidDel="006C23AF">
        <w:rPr>
          <w:rFonts w:ascii="Times New Roman" w:hAnsi="Times New Roman" w:cs="Times New Roman"/>
          <w:sz w:val="24"/>
          <w:szCs w:val="24"/>
          <w:lang w:val="ro-MD"/>
        </w:rPr>
        <w:t xml:space="preserve"> </w:t>
      </w:r>
      <w:r w:rsidR="003A7B4F" w:rsidRPr="00483DC7">
        <w:rPr>
          <w:rFonts w:ascii="Times New Roman" w:hAnsi="Times New Roman" w:cs="Times New Roman"/>
          <w:sz w:val="24"/>
          <w:szCs w:val="24"/>
          <w:lang w:val="ro-MD"/>
        </w:rPr>
        <w:t xml:space="preserve">și/sau </w:t>
      </w:r>
      <w:r w:rsidR="006C23AF" w:rsidRPr="00483DC7">
        <w:rPr>
          <w:rFonts w:ascii="Times New Roman" w:hAnsi="Times New Roman" w:cs="Times New Roman"/>
          <w:sz w:val="24"/>
          <w:szCs w:val="24"/>
          <w:lang w:val="ro-MD"/>
        </w:rPr>
        <w:t>naționale</w:t>
      </w:r>
      <w:r w:rsidR="003A7B4F" w:rsidRPr="00483DC7">
        <w:rPr>
          <w:rFonts w:ascii="Times New Roman" w:hAnsi="Times New Roman" w:cs="Times New Roman"/>
          <w:sz w:val="24"/>
          <w:szCs w:val="24"/>
          <w:lang w:val="ro-MD"/>
        </w:rPr>
        <w:t>.</w:t>
      </w:r>
      <w:r w:rsidR="002C7081" w:rsidRPr="00483DC7">
        <w:rPr>
          <w:rFonts w:ascii="Times New Roman" w:hAnsi="Times New Roman" w:cs="Times New Roman"/>
          <w:sz w:val="24"/>
          <w:szCs w:val="24"/>
          <w:lang w:val="ro-MD"/>
        </w:rPr>
        <w:t xml:space="preserve"> </w:t>
      </w:r>
    </w:p>
    <w:p w14:paraId="55096149" w14:textId="7244DD4D" w:rsidR="000A7F0B" w:rsidRPr="00483DC7" w:rsidRDefault="00F912C5" w:rsidP="00B04DD4">
      <w:pPr>
        <w:spacing w:after="0" w:line="276" w:lineRule="auto"/>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Ca</w:t>
      </w:r>
      <w:r w:rsidR="005930B3" w:rsidRPr="00483DC7">
        <w:rPr>
          <w:rFonts w:ascii="Times New Roman" w:hAnsi="Times New Roman" w:cs="Times New Roman"/>
          <w:sz w:val="24"/>
          <w:szCs w:val="24"/>
          <w:lang w:val="ro-MD"/>
        </w:rPr>
        <w:t xml:space="preserve"> rezultat, impactul socioeconomic pe termen lung, aferent activității desfășurate de către </w:t>
      </w:r>
      <w:r w:rsidR="003C1D04" w:rsidRPr="00483DC7">
        <w:rPr>
          <w:rFonts w:ascii="Times New Roman" w:hAnsi="Times New Roman" w:cs="Times New Roman"/>
          <w:sz w:val="24"/>
          <w:szCs w:val="24"/>
          <w:lang w:val="ro-MD"/>
        </w:rPr>
        <w:t xml:space="preserve">unele </w:t>
      </w:r>
      <w:r w:rsidR="005930B3" w:rsidRPr="00483DC7">
        <w:rPr>
          <w:rFonts w:ascii="Times New Roman" w:hAnsi="Times New Roman" w:cs="Times New Roman"/>
          <w:sz w:val="24"/>
          <w:szCs w:val="24"/>
          <w:lang w:val="ro-MD"/>
        </w:rPr>
        <w:t>UIPFAE</w:t>
      </w:r>
      <w:r w:rsidR="00EC4428" w:rsidRPr="00483DC7">
        <w:rPr>
          <w:rFonts w:ascii="Times New Roman" w:hAnsi="Times New Roman" w:cs="Times New Roman"/>
          <w:sz w:val="24"/>
          <w:szCs w:val="24"/>
          <w:lang w:val="ro-MD"/>
        </w:rPr>
        <w:t>,</w:t>
      </w:r>
      <w:r w:rsidR="005930B3" w:rsidRPr="00483DC7">
        <w:rPr>
          <w:rFonts w:ascii="Times New Roman" w:hAnsi="Times New Roman" w:cs="Times New Roman"/>
          <w:sz w:val="24"/>
          <w:szCs w:val="24"/>
          <w:lang w:val="ro-MD"/>
        </w:rPr>
        <w:t xml:space="preserve"> nu poate fi monitorizat și evaluat în baza unor indicatori de performanță</w:t>
      </w:r>
      <w:r w:rsidR="00EC4428" w:rsidRPr="00483DC7">
        <w:rPr>
          <w:rFonts w:ascii="Times New Roman" w:hAnsi="Times New Roman" w:cs="Times New Roman"/>
          <w:sz w:val="24"/>
          <w:szCs w:val="24"/>
          <w:lang w:val="ro-MD"/>
        </w:rPr>
        <w:t xml:space="preserve"> </w:t>
      </w:r>
      <w:r w:rsidR="005930B3" w:rsidRPr="00483DC7">
        <w:rPr>
          <w:rFonts w:ascii="Times New Roman" w:hAnsi="Times New Roman" w:cs="Times New Roman"/>
          <w:sz w:val="24"/>
          <w:szCs w:val="24"/>
          <w:lang w:val="ro-MD"/>
        </w:rPr>
        <w:t>p</w:t>
      </w:r>
      <w:r w:rsidR="008A14E7" w:rsidRPr="00483DC7">
        <w:rPr>
          <w:rFonts w:ascii="Times New Roman" w:hAnsi="Times New Roman" w:cs="Times New Roman"/>
          <w:sz w:val="24"/>
          <w:szCs w:val="24"/>
          <w:lang w:val="ro-MD"/>
        </w:rPr>
        <w:t>restabiliți</w:t>
      </w:r>
      <w:r w:rsidR="003C1D04" w:rsidRPr="00483DC7">
        <w:rPr>
          <w:rFonts w:ascii="Times New Roman" w:hAnsi="Times New Roman" w:cs="Times New Roman"/>
          <w:sz w:val="24"/>
          <w:szCs w:val="24"/>
          <w:lang w:val="ro-MD"/>
        </w:rPr>
        <w:t xml:space="preserve"> în strategiile</w:t>
      </w:r>
      <w:r w:rsidR="006C23AF">
        <w:rPr>
          <w:rFonts w:ascii="Times New Roman" w:hAnsi="Times New Roman" w:cs="Times New Roman"/>
          <w:sz w:val="24"/>
          <w:szCs w:val="24"/>
          <w:lang w:val="ro-MD"/>
        </w:rPr>
        <w:t xml:space="preserve"> </w:t>
      </w:r>
      <w:r w:rsidR="006C23AF" w:rsidRPr="00483DC7">
        <w:rPr>
          <w:rFonts w:ascii="Times New Roman" w:hAnsi="Times New Roman" w:cs="Times New Roman"/>
          <w:sz w:val="24"/>
          <w:szCs w:val="24"/>
          <w:lang w:val="ro-MD"/>
        </w:rPr>
        <w:t>sectoriale</w:t>
      </w:r>
      <w:r w:rsidR="006C23AF" w:rsidRPr="00483DC7" w:rsidDel="006C23AF">
        <w:rPr>
          <w:rFonts w:ascii="Times New Roman" w:hAnsi="Times New Roman" w:cs="Times New Roman"/>
          <w:sz w:val="24"/>
          <w:szCs w:val="24"/>
          <w:lang w:val="ro-MD"/>
        </w:rPr>
        <w:t xml:space="preserve"> </w:t>
      </w:r>
      <w:r w:rsidR="006C23AF" w:rsidRPr="00483DC7">
        <w:rPr>
          <w:rFonts w:ascii="Times New Roman" w:hAnsi="Times New Roman" w:cs="Times New Roman"/>
          <w:sz w:val="24"/>
          <w:szCs w:val="24"/>
          <w:lang w:val="ro-MD"/>
        </w:rPr>
        <w:t>și/sau naționale</w:t>
      </w:r>
      <w:r w:rsidR="008A14E7" w:rsidRPr="00483DC7">
        <w:rPr>
          <w:rFonts w:ascii="Times New Roman" w:hAnsi="Times New Roman" w:cs="Times New Roman"/>
          <w:sz w:val="24"/>
          <w:szCs w:val="24"/>
          <w:lang w:val="ro-MD"/>
        </w:rPr>
        <w:t>.</w:t>
      </w:r>
      <w:r w:rsidR="00B57AD0" w:rsidRPr="00483DC7">
        <w:rPr>
          <w:rFonts w:ascii="Times New Roman" w:hAnsi="Times New Roman" w:cs="Times New Roman"/>
          <w:sz w:val="24"/>
          <w:szCs w:val="24"/>
          <w:lang w:val="ro-MD"/>
        </w:rPr>
        <w:t xml:space="preserve"> </w:t>
      </w:r>
      <w:r w:rsidR="005930B3" w:rsidRPr="00483DC7">
        <w:rPr>
          <w:rFonts w:ascii="Times New Roman" w:hAnsi="Times New Roman" w:cs="Times New Roman"/>
          <w:sz w:val="24"/>
          <w:szCs w:val="24"/>
          <w:lang w:val="ro-MD"/>
        </w:rPr>
        <w:t xml:space="preserve"> </w:t>
      </w:r>
    </w:p>
    <w:p w14:paraId="63E62122" w14:textId="65BBEAED" w:rsidR="00AB74AB" w:rsidRPr="00483DC7" w:rsidRDefault="002C7081" w:rsidP="00B04DD4">
      <w:pPr>
        <w:spacing w:after="0" w:line="276" w:lineRule="auto"/>
        <w:ind w:firstLine="709"/>
        <w:jc w:val="both"/>
        <w:rPr>
          <w:rFonts w:ascii="Times New Roman" w:hAnsi="Times New Roman" w:cs="Times New Roman"/>
          <w:color w:val="000000"/>
          <w:sz w:val="24"/>
          <w:szCs w:val="24"/>
          <w:lang w:val="ro-MD"/>
        </w:rPr>
      </w:pPr>
      <w:r w:rsidRPr="00483DC7">
        <w:rPr>
          <w:rFonts w:ascii="Times New Roman" w:hAnsi="Times New Roman" w:cs="Times New Roman"/>
          <w:sz w:val="24"/>
          <w:szCs w:val="24"/>
          <w:lang w:val="ro-MD"/>
        </w:rPr>
        <w:t xml:space="preserve">Spre exemplu, </w:t>
      </w:r>
      <w:r w:rsidR="00D808E3" w:rsidRPr="00483DC7">
        <w:rPr>
          <w:rFonts w:ascii="Times New Roman" w:hAnsi="Times New Roman" w:cs="Times New Roman"/>
          <w:sz w:val="24"/>
          <w:szCs w:val="24"/>
          <w:lang w:val="ro-MD"/>
        </w:rPr>
        <w:t xml:space="preserve">potrivit </w:t>
      </w:r>
      <w:r w:rsidR="00D808E3" w:rsidRPr="00483DC7">
        <w:rPr>
          <w:rFonts w:ascii="Times New Roman" w:hAnsi="Times New Roman" w:cs="Times New Roman"/>
          <w:color w:val="000000"/>
          <w:sz w:val="24"/>
          <w:szCs w:val="24"/>
          <w:lang w:val="ro-MD"/>
        </w:rPr>
        <w:t>Acordul</w:t>
      </w:r>
      <w:r w:rsidR="00E95661" w:rsidRPr="00483DC7">
        <w:rPr>
          <w:rFonts w:ascii="Times New Roman" w:hAnsi="Times New Roman" w:cs="Times New Roman"/>
          <w:color w:val="000000"/>
          <w:sz w:val="24"/>
          <w:szCs w:val="24"/>
          <w:lang w:val="ro-MD"/>
        </w:rPr>
        <w:t>ui</w:t>
      </w:r>
      <w:r w:rsidR="00D808E3" w:rsidRPr="00483DC7">
        <w:rPr>
          <w:rFonts w:ascii="Times New Roman" w:hAnsi="Times New Roman" w:cs="Times New Roman"/>
          <w:color w:val="000000"/>
          <w:sz w:val="24"/>
          <w:szCs w:val="24"/>
          <w:lang w:val="ro-MD"/>
        </w:rPr>
        <w:t xml:space="preserve"> de împrumut dintre Republica Moldova și Banca de Dezvoltare a Consiliului Europei</w:t>
      </w:r>
      <w:r w:rsidR="00D808E3" w:rsidRPr="00483DC7">
        <w:rPr>
          <w:rStyle w:val="FootnoteReference"/>
          <w:rFonts w:ascii="Times New Roman" w:hAnsi="Times New Roman" w:cs="Times New Roman"/>
          <w:color w:val="000000"/>
          <w:sz w:val="24"/>
          <w:szCs w:val="24"/>
          <w:lang w:val="ro-MD"/>
        </w:rPr>
        <w:footnoteReference w:id="42"/>
      </w:r>
      <w:r w:rsidR="00D808E3" w:rsidRPr="00483DC7">
        <w:rPr>
          <w:rFonts w:ascii="Times New Roman" w:hAnsi="Times New Roman" w:cs="Times New Roman"/>
          <w:color w:val="000000"/>
          <w:sz w:val="24"/>
          <w:szCs w:val="24"/>
          <w:lang w:val="ro-MD"/>
        </w:rPr>
        <w:t xml:space="preserve">, </w:t>
      </w:r>
      <w:r w:rsidR="00D808E3" w:rsidRPr="00483DC7">
        <w:rPr>
          <w:rFonts w:ascii="Times New Roman" w:hAnsi="Times New Roman" w:cs="Times New Roman"/>
          <w:sz w:val="24"/>
          <w:szCs w:val="24"/>
          <w:lang w:val="ro-MD"/>
        </w:rPr>
        <w:t xml:space="preserve">obiectivul general al Proiectului „Construcția locuințelor pentru pături socialmente vulnerabile II”, implementat de către </w:t>
      </w:r>
      <w:r w:rsidR="00D808E3" w:rsidRPr="00483DC7">
        <w:rPr>
          <w:rFonts w:ascii="Times New Roman" w:hAnsi="Times New Roman" w:cs="Times New Roman"/>
          <w:color w:val="000000"/>
          <w:sz w:val="24"/>
          <w:szCs w:val="24"/>
          <w:lang w:val="ro-MD"/>
        </w:rPr>
        <w:t xml:space="preserve">UIPCLPSV II, a constat în </w:t>
      </w:r>
      <w:r w:rsidR="00F628C8" w:rsidRPr="00483DC7">
        <w:rPr>
          <w:rFonts w:ascii="Times New Roman" w:hAnsi="Times New Roman" w:cs="Times New Roman"/>
          <w:color w:val="000000"/>
          <w:sz w:val="24"/>
          <w:szCs w:val="24"/>
          <w:lang w:val="ro-MD"/>
        </w:rPr>
        <w:t>reconstrucția</w:t>
      </w:r>
      <w:r w:rsidR="00E95661" w:rsidRPr="00483DC7">
        <w:rPr>
          <w:rFonts w:ascii="Times New Roman" w:hAnsi="Times New Roman" w:cs="Times New Roman"/>
          <w:color w:val="000000"/>
          <w:sz w:val="24"/>
          <w:szCs w:val="24"/>
          <w:lang w:val="ro-MD"/>
        </w:rPr>
        <w:t xml:space="preserve"> a circa 15 blocuri de apartamente neterminate sau abandonate, în vederea livrării aproximativ</w:t>
      </w:r>
      <w:r w:rsidR="00CD4467" w:rsidRPr="00483DC7">
        <w:rPr>
          <w:rFonts w:ascii="Times New Roman" w:hAnsi="Times New Roman" w:cs="Times New Roman"/>
          <w:color w:val="000000"/>
          <w:sz w:val="24"/>
          <w:szCs w:val="24"/>
          <w:lang w:val="ro-MD"/>
        </w:rPr>
        <w:t xml:space="preserve"> a</w:t>
      </w:r>
      <w:r w:rsidR="00E95661" w:rsidRPr="00483DC7">
        <w:rPr>
          <w:rFonts w:ascii="Times New Roman" w:hAnsi="Times New Roman" w:cs="Times New Roman"/>
          <w:color w:val="000000"/>
          <w:sz w:val="24"/>
          <w:szCs w:val="24"/>
          <w:lang w:val="ro-MD"/>
        </w:rPr>
        <w:t xml:space="preserve"> 700 de locuințe sociale pentru circa 2500 de persoane din familii sărace și socialmente vulnerabile, care nu au acces la condiții satisfăcătoare de locui</w:t>
      </w:r>
      <w:r w:rsidR="00F912C5">
        <w:rPr>
          <w:rFonts w:ascii="Times New Roman" w:hAnsi="Times New Roman" w:cs="Times New Roman"/>
          <w:color w:val="000000"/>
          <w:sz w:val="24"/>
          <w:szCs w:val="24"/>
          <w:lang w:val="ro-MD"/>
        </w:rPr>
        <w:t>t</w:t>
      </w:r>
      <w:r w:rsidR="00E95661" w:rsidRPr="00483DC7">
        <w:rPr>
          <w:rFonts w:ascii="Times New Roman" w:hAnsi="Times New Roman" w:cs="Times New Roman"/>
          <w:color w:val="000000"/>
          <w:sz w:val="24"/>
          <w:szCs w:val="24"/>
          <w:lang w:val="ro-MD"/>
        </w:rPr>
        <w:t xml:space="preserve">. </w:t>
      </w:r>
    </w:p>
    <w:p w14:paraId="0E91F99C" w14:textId="20123E6D" w:rsidR="00051C3F" w:rsidRPr="00483DC7" w:rsidRDefault="00CD4467" w:rsidP="00B04DD4">
      <w:pPr>
        <w:spacing w:after="0" w:line="276" w:lineRule="auto"/>
        <w:ind w:firstLine="709"/>
        <w:jc w:val="both"/>
        <w:rPr>
          <w:rFonts w:ascii="Times New Roman" w:hAnsi="Times New Roman" w:cs="Times New Roman"/>
          <w:color w:val="000000"/>
          <w:sz w:val="24"/>
          <w:szCs w:val="24"/>
          <w:lang w:val="ro-MD"/>
        </w:rPr>
      </w:pPr>
      <w:r w:rsidRPr="00483DC7">
        <w:rPr>
          <w:rFonts w:ascii="Times New Roman" w:hAnsi="Times New Roman" w:cs="Times New Roman"/>
          <w:color w:val="000000"/>
          <w:sz w:val="24"/>
          <w:szCs w:val="24"/>
          <w:lang w:val="ro-MD"/>
        </w:rPr>
        <w:t>Auditul denotă că i</w:t>
      </w:r>
      <w:r w:rsidR="00F628C8" w:rsidRPr="00483DC7">
        <w:rPr>
          <w:rFonts w:ascii="Times New Roman" w:hAnsi="Times New Roman" w:cs="Times New Roman"/>
          <w:color w:val="000000"/>
          <w:sz w:val="24"/>
          <w:szCs w:val="24"/>
          <w:lang w:val="ro-MD"/>
        </w:rPr>
        <w:t>ndicatorii de performanță au fost stabiliți în lipsa unui studiu de fezabilitate</w:t>
      </w:r>
      <w:r w:rsidR="00AB74AB" w:rsidRPr="00483DC7">
        <w:rPr>
          <w:rFonts w:ascii="Times New Roman" w:hAnsi="Times New Roman" w:cs="Times New Roman"/>
          <w:color w:val="000000"/>
          <w:sz w:val="24"/>
          <w:szCs w:val="24"/>
          <w:lang w:val="ro-MD"/>
        </w:rPr>
        <w:t xml:space="preserve"> și nu se regăsesc în strategiile naționale de dezvoltare aferente perioadei de implementare a Proiectului (anii 2012-2024)</w:t>
      </w:r>
      <w:r w:rsidR="00F628C8" w:rsidRPr="00483DC7">
        <w:rPr>
          <w:rFonts w:ascii="Times New Roman" w:hAnsi="Times New Roman" w:cs="Times New Roman"/>
          <w:color w:val="000000"/>
          <w:sz w:val="24"/>
          <w:szCs w:val="24"/>
          <w:lang w:val="ro-MD"/>
        </w:rPr>
        <w:t>, iar beneficiarii finali au fost identificați</w:t>
      </w:r>
      <w:r w:rsidR="00FF7F60" w:rsidRPr="00483DC7">
        <w:rPr>
          <w:rFonts w:ascii="Times New Roman" w:hAnsi="Times New Roman" w:cs="Times New Roman"/>
          <w:color w:val="000000"/>
          <w:sz w:val="24"/>
          <w:szCs w:val="24"/>
          <w:lang w:val="ro-MD"/>
        </w:rPr>
        <w:t xml:space="preserve"> pe parcursul implementării Proiectului. </w:t>
      </w:r>
      <w:r w:rsidR="00594EC6">
        <w:rPr>
          <w:rFonts w:ascii="Times New Roman" w:hAnsi="Times New Roman" w:cs="Times New Roman"/>
          <w:color w:val="000000"/>
          <w:sz w:val="24"/>
          <w:szCs w:val="24"/>
          <w:lang w:val="ro-MD"/>
        </w:rPr>
        <w:t>Ca urmare a</w:t>
      </w:r>
      <w:r w:rsidRPr="00483DC7">
        <w:rPr>
          <w:rFonts w:ascii="Times New Roman" w:hAnsi="Times New Roman" w:cs="Times New Roman"/>
          <w:color w:val="000000"/>
          <w:sz w:val="24"/>
          <w:szCs w:val="24"/>
          <w:lang w:val="ro-MD"/>
        </w:rPr>
        <w:t xml:space="preserve"> deficiențelor</w:t>
      </w:r>
      <w:r w:rsidR="00FF7F60" w:rsidRPr="00483DC7">
        <w:rPr>
          <w:rFonts w:ascii="Times New Roman" w:hAnsi="Times New Roman" w:cs="Times New Roman"/>
          <w:color w:val="000000"/>
          <w:sz w:val="24"/>
          <w:szCs w:val="24"/>
          <w:lang w:val="ro-MD"/>
        </w:rPr>
        <w:t xml:space="preserve"> admise la etapa de planificare a investiției</w:t>
      </w:r>
      <w:r w:rsidRPr="00483DC7">
        <w:rPr>
          <w:rFonts w:ascii="Times New Roman" w:hAnsi="Times New Roman" w:cs="Times New Roman"/>
          <w:color w:val="000000"/>
          <w:sz w:val="24"/>
          <w:szCs w:val="24"/>
          <w:lang w:val="ro-MD"/>
        </w:rPr>
        <w:t xml:space="preserve">, rezultatele finale ale Proiectului au atins </w:t>
      </w:r>
      <w:r w:rsidR="00051C3F" w:rsidRPr="00483DC7">
        <w:rPr>
          <w:rFonts w:ascii="Times New Roman" w:hAnsi="Times New Roman" w:cs="Times New Roman"/>
          <w:color w:val="000000"/>
          <w:sz w:val="24"/>
          <w:szCs w:val="24"/>
          <w:lang w:val="ro-MD"/>
        </w:rPr>
        <w:t>nivelul de implementare de la 92,00 % până la 96,71 %</w:t>
      </w:r>
      <w:r w:rsidR="00051C3F" w:rsidRPr="00483DC7">
        <w:rPr>
          <w:rStyle w:val="FootnoteReference"/>
          <w:rFonts w:ascii="Times New Roman" w:hAnsi="Times New Roman" w:cs="Times New Roman"/>
          <w:color w:val="000000"/>
          <w:sz w:val="24"/>
          <w:szCs w:val="24"/>
          <w:lang w:val="ro-MD"/>
        </w:rPr>
        <w:footnoteReference w:id="43"/>
      </w:r>
      <w:r w:rsidR="00051C3F" w:rsidRPr="00483DC7">
        <w:rPr>
          <w:rFonts w:ascii="Times New Roman" w:hAnsi="Times New Roman" w:cs="Times New Roman"/>
          <w:color w:val="000000"/>
          <w:sz w:val="24"/>
          <w:szCs w:val="24"/>
          <w:lang w:val="ro-MD"/>
        </w:rPr>
        <w:t>.</w:t>
      </w:r>
    </w:p>
    <w:p w14:paraId="7D41A34B" w14:textId="3BCD3072" w:rsidR="006C23AF" w:rsidRDefault="00F409CB" w:rsidP="00B04DD4">
      <w:pPr>
        <w:spacing w:after="0" w:line="276" w:lineRule="auto"/>
        <w:ind w:firstLine="709"/>
        <w:jc w:val="both"/>
        <w:rPr>
          <w:rFonts w:ascii="Times New Roman" w:hAnsi="Times New Roman" w:cs="Times New Roman"/>
          <w:color w:val="000000"/>
          <w:sz w:val="24"/>
          <w:szCs w:val="24"/>
          <w:lang w:val="ro-MD"/>
        </w:rPr>
      </w:pPr>
      <w:r w:rsidRPr="00483DC7">
        <w:rPr>
          <w:rFonts w:ascii="Times New Roman" w:hAnsi="Times New Roman" w:cs="Times New Roman"/>
          <w:color w:val="000000"/>
          <w:sz w:val="24"/>
          <w:szCs w:val="24"/>
          <w:lang w:val="ro-MD"/>
        </w:rPr>
        <w:t>Un alt exemplu elocvent este</w:t>
      </w:r>
      <w:r w:rsidR="006036F2" w:rsidRPr="00483DC7">
        <w:rPr>
          <w:rFonts w:ascii="Times New Roman" w:hAnsi="Times New Roman" w:cs="Times New Roman"/>
          <w:color w:val="000000"/>
          <w:sz w:val="24"/>
          <w:szCs w:val="24"/>
          <w:lang w:val="ro-MD"/>
        </w:rPr>
        <w:t xml:space="preserve"> Acordul-cadru de împrumut dintre Republica Moldova și Banca de Dezvoltare a Consiliului Europei pentru realizarea Proiectului „Răspunsul de urgență la COVID-19 și suport pentru întreprinderile micro, mici și mijlocii”</w:t>
      </w:r>
      <w:r w:rsidR="006036F2" w:rsidRPr="00483DC7">
        <w:rPr>
          <w:rStyle w:val="FootnoteReference"/>
          <w:rFonts w:ascii="Times New Roman" w:hAnsi="Times New Roman" w:cs="Times New Roman"/>
          <w:color w:val="000000"/>
          <w:sz w:val="24"/>
          <w:szCs w:val="24"/>
          <w:lang w:val="ro-MD"/>
        </w:rPr>
        <w:footnoteReference w:id="44"/>
      </w:r>
      <w:r w:rsidR="00EC4428" w:rsidRPr="00483DC7">
        <w:rPr>
          <w:rFonts w:ascii="Times New Roman" w:hAnsi="Times New Roman" w:cs="Times New Roman"/>
          <w:color w:val="000000"/>
          <w:sz w:val="24"/>
          <w:szCs w:val="24"/>
          <w:lang w:val="ro-MD"/>
        </w:rPr>
        <w:t xml:space="preserve"> care, deși are stabilite obiective specifice pentru ambele componente ale Proiectului, nu reglementează expres indicatorii de performanță SMART pentru monitorizarea și evaluarea progresului înregistrat în implementarea proiectului de către OGPAE.</w:t>
      </w:r>
      <w:r w:rsidR="00B03DC2" w:rsidRPr="00483DC7">
        <w:rPr>
          <w:rFonts w:ascii="Times New Roman" w:hAnsi="Times New Roman" w:cs="Times New Roman"/>
          <w:color w:val="000000"/>
          <w:sz w:val="24"/>
          <w:szCs w:val="24"/>
          <w:lang w:val="ro-MD"/>
        </w:rPr>
        <w:t xml:space="preserve"> </w:t>
      </w:r>
    </w:p>
    <w:p w14:paraId="11218A80" w14:textId="4FF712FF" w:rsidR="006036F2" w:rsidRPr="00483DC7" w:rsidRDefault="00E23D4A" w:rsidP="00B04DD4">
      <w:pPr>
        <w:spacing w:after="0" w:line="276" w:lineRule="auto"/>
        <w:ind w:firstLine="709"/>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Cu toate acestea</w:t>
      </w:r>
      <w:r w:rsidR="00B03DC2" w:rsidRPr="00483DC7">
        <w:rPr>
          <w:rFonts w:ascii="Times New Roman" w:hAnsi="Times New Roman" w:cs="Times New Roman"/>
          <w:color w:val="000000"/>
          <w:sz w:val="24"/>
          <w:szCs w:val="24"/>
          <w:lang w:val="ro-MD"/>
        </w:rPr>
        <w:t xml:space="preserve">, performanța activității OGPAE a fost </w:t>
      </w:r>
      <w:r w:rsidR="00B57AD0" w:rsidRPr="00483DC7">
        <w:rPr>
          <w:rFonts w:ascii="Times New Roman" w:hAnsi="Times New Roman" w:cs="Times New Roman"/>
          <w:color w:val="000000"/>
          <w:sz w:val="24"/>
          <w:szCs w:val="24"/>
          <w:lang w:val="ro-MD"/>
        </w:rPr>
        <w:t xml:space="preserve">înalt </w:t>
      </w:r>
      <w:r w:rsidR="00B03DC2" w:rsidRPr="00483DC7">
        <w:rPr>
          <w:rFonts w:ascii="Times New Roman" w:hAnsi="Times New Roman" w:cs="Times New Roman"/>
          <w:color w:val="000000"/>
          <w:sz w:val="24"/>
          <w:szCs w:val="24"/>
          <w:lang w:val="ro-MD"/>
        </w:rPr>
        <w:t>apreciată</w:t>
      </w:r>
      <w:r w:rsidR="00B57AD0" w:rsidRPr="00483DC7">
        <w:rPr>
          <w:rFonts w:ascii="Times New Roman" w:hAnsi="Times New Roman" w:cs="Times New Roman"/>
          <w:color w:val="000000"/>
          <w:sz w:val="24"/>
          <w:szCs w:val="24"/>
          <w:lang w:val="ro-MD"/>
        </w:rPr>
        <w:t xml:space="preserve"> de către creditorul extern și fondatorul instituției publice,</w:t>
      </w:r>
      <w:r w:rsidR="00B03DC2" w:rsidRPr="00483DC7">
        <w:rPr>
          <w:rFonts w:ascii="Times New Roman" w:hAnsi="Times New Roman" w:cs="Times New Roman"/>
          <w:color w:val="000000"/>
          <w:sz w:val="24"/>
          <w:szCs w:val="24"/>
          <w:lang w:val="ro-MD"/>
        </w:rPr>
        <w:t xml:space="preserve"> reieșind din rezultatele</w:t>
      </w:r>
      <w:r w:rsidR="00B57AD0" w:rsidRPr="00483DC7">
        <w:rPr>
          <w:rFonts w:ascii="Times New Roman" w:hAnsi="Times New Roman" w:cs="Times New Roman"/>
          <w:color w:val="000000"/>
          <w:sz w:val="24"/>
          <w:szCs w:val="24"/>
          <w:lang w:val="ro-MD"/>
        </w:rPr>
        <w:t xml:space="preserve"> efective</w:t>
      </w:r>
      <w:r w:rsidR="00B03DC2" w:rsidRPr="00483DC7">
        <w:rPr>
          <w:rFonts w:ascii="Times New Roman" w:hAnsi="Times New Roman" w:cs="Times New Roman"/>
          <w:color w:val="000000"/>
          <w:sz w:val="24"/>
          <w:szCs w:val="24"/>
          <w:lang w:val="ro-MD"/>
        </w:rPr>
        <w:t xml:space="preserve"> înregistrate la sfârșitul implementării Proiectului, în special la aspectele ce țin de: numărul de împrumuturi recreditate, numărul de beneficiari care au avut acces la finanțare suplimentară în perioada Pandemiei COVID-</w:t>
      </w:r>
      <w:r w:rsidR="00B03DC2" w:rsidRPr="00483DC7">
        <w:rPr>
          <w:rFonts w:ascii="Times New Roman" w:hAnsi="Times New Roman" w:cs="Times New Roman"/>
          <w:color w:val="000000"/>
          <w:sz w:val="24"/>
          <w:szCs w:val="24"/>
          <w:lang w:val="ro-MD"/>
        </w:rPr>
        <w:lastRenderedPageBreak/>
        <w:t>19, nivelul de debursare a împrumutului disponibil</w:t>
      </w:r>
      <w:r w:rsidR="00EC4428" w:rsidRPr="00483DC7">
        <w:rPr>
          <w:rFonts w:ascii="Times New Roman" w:hAnsi="Times New Roman" w:cs="Times New Roman"/>
          <w:color w:val="000000"/>
          <w:sz w:val="24"/>
          <w:szCs w:val="24"/>
          <w:lang w:val="ro-MD"/>
        </w:rPr>
        <w:t xml:space="preserve"> </w:t>
      </w:r>
      <w:r w:rsidR="00B03DC2" w:rsidRPr="00483DC7">
        <w:rPr>
          <w:rFonts w:ascii="Times New Roman" w:hAnsi="Times New Roman" w:cs="Times New Roman"/>
          <w:color w:val="000000"/>
          <w:sz w:val="24"/>
          <w:szCs w:val="24"/>
          <w:lang w:val="ro-MD"/>
        </w:rPr>
        <w:t>dar și gradul de respectare a termen</w:t>
      </w:r>
      <w:r>
        <w:rPr>
          <w:rFonts w:ascii="Times New Roman" w:hAnsi="Times New Roman" w:cs="Times New Roman"/>
          <w:color w:val="000000"/>
          <w:sz w:val="24"/>
          <w:szCs w:val="24"/>
          <w:lang w:val="ro-MD"/>
        </w:rPr>
        <w:t>e</w:t>
      </w:r>
      <w:r w:rsidR="00B03DC2" w:rsidRPr="00483DC7">
        <w:rPr>
          <w:rFonts w:ascii="Times New Roman" w:hAnsi="Times New Roman" w:cs="Times New Roman"/>
          <w:color w:val="000000"/>
          <w:sz w:val="24"/>
          <w:szCs w:val="24"/>
          <w:lang w:val="ro-MD"/>
        </w:rPr>
        <w:t xml:space="preserve">lor și condițiilor de rambursare a creditelor. </w:t>
      </w:r>
    </w:p>
    <w:p w14:paraId="5BB6E5FB" w14:textId="1A67EDA1" w:rsidR="008516F0" w:rsidRDefault="008516F0" w:rsidP="00B04DD4">
      <w:pPr>
        <w:spacing w:after="0" w:line="276" w:lineRule="auto"/>
        <w:ind w:firstLine="709"/>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A</w:t>
      </w:r>
      <w:r w:rsidR="008A14E7" w:rsidRPr="00483DC7">
        <w:rPr>
          <w:rFonts w:ascii="Times New Roman" w:hAnsi="Times New Roman" w:cs="Times New Roman"/>
          <w:color w:val="000000"/>
          <w:sz w:val="24"/>
          <w:szCs w:val="24"/>
          <w:lang w:val="ro-MD"/>
        </w:rPr>
        <w:t xml:space="preserve">uditul </w:t>
      </w:r>
      <w:r>
        <w:rPr>
          <w:rFonts w:ascii="Times New Roman" w:hAnsi="Times New Roman" w:cs="Times New Roman"/>
          <w:color w:val="000000"/>
          <w:sz w:val="24"/>
          <w:szCs w:val="24"/>
          <w:lang w:val="ro-MD"/>
        </w:rPr>
        <w:t>concluzionează</w:t>
      </w:r>
      <w:r w:rsidR="008A14E7" w:rsidRPr="00483DC7">
        <w:rPr>
          <w:rFonts w:ascii="Times New Roman" w:hAnsi="Times New Roman" w:cs="Times New Roman"/>
          <w:color w:val="000000"/>
          <w:sz w:val="24"/>
          <w:szCs w:val="24"/>
          <w:lang w:val="ro-MD"/>
        </w:rPr>
        <w:t xml:space="preserve"> că</w:t>
      </w:r>
      <w:r>
        <w:rPr>
          <w:rFonts w:ascii="Times New Roman" w:hAnsi="Times New Roman" w:cs="Times New Roman"/>
          <w:color w:val="000000"/>
          <w:sz w:val="24"/>
          <w:szCs w:val="24"/>
          <w:lang w:val="ro-MD"/>
        </w:rPr>
        <w:t xml:space="preserve"> pentru a asigura o viziune clară asupra performanțelor și contribuției fiecărei intervenții a UIPFAE, cadru de rezultate ar trebui să integreze indicatorii-țintă de progres cu rezultatele intermediare și impactul final dorit la nivel național. </w:t>
      </w:r>
    </w:p>
    <w:p w14:paraId="5DB7BBBD" w14:textId="77777777" w:rsidR="00C16151" w:rsidRPr="00483DC7" w:rsidRDefault="00C16151" w:rsidP="00F343A2">
      <w:pPr>
        <w:spacing w:before="240" w:after="0"/>
        <w:jc w:val="both"/>
        <w:rPr>
          <w:rFonts w:ascii="Times New Roman" w:hAnsi="Times New Roman" w:cs="Times New Roman"/>
          <w:b/>
          <w:sz w:val="24"/>
          <w:szCs w:val="24"/>
          <w:lang w:val="ro-MD"/>
        </w:rPr>
      </w:pPr>
      <w:r w:rsidRPr="00483DC7">
        <w:rPr>
          <w:rFonts w:ascii="Times New Roman" w:hAnsi="Times New Roman" w:cs="Times New Roman"/>
          <w:b/>
          <w:color w:val="000000" w:themeColor="text1"/>
          <w:sz w:val="24"/>
          <w:szCs w:val="24"/>
          <w:lang w:val="ro-MD"/>
        </w:rPr>
        <w:t xml:space="preserve">4.1.2.2. </w:t>
      </w:r>
      <w:r w:rsidRPr="00483DC7">
        <w:rPr>
          <w:rFonts w:ascii="Times New Roman" w:hAnsi="Times New Roman" w:cs="Times New Roman"/>
          <w:b/>
          <w:sz w:val="24"/>
          <w:szCs w:val="24"/>
          <w:lang w:val="ro-MD"/>
        </w:rPr>
        <w:t>Neadoptarea actului metodologic care să reglementeze formatul și conținutul Rapoartelor de monitorizare privind proiectele finanțate din surse externe, creează premise pentru incoerențe în prezentarea și interpretarea informațiilor.</w:t>
      </w:r>
    </w:p>
    <w:p w14:paraId="6CAA3CFD" w14:textId="43F10A4F" w:rsidR="00BF216D" w:rsidRPr="00483DC7" w:rsidRDefault="00BF216D" w:rsidP="00BF216D">
      <w:pPr>
        <w:spacing w:after="0" w:line="276" w:lineRule="auto"/>
        <w:ind w:firstLine="709"/>
        <w:jc w:val="both"/>
        <w:rPr>
          <w:lang w:val="ro-MD"/>
        </w:rPr>
      </w:pPr>
      <w:r w:rsidRPr="00483DC7">
        <w:rPr>
          <w:rFonts w:ascii="Times New Roman" w:hAnsi="Times New Roman" w:cs="Times New Roman"/>
          <w:sz w:val="24"/>
          <w:szCs w:val="24"/>
          <w:lang w:val="ro-MD"/>
        </w:rPr>
        <w:t>Potrivit prevederilor pct.4 din HG nr.377/2018, în vigoare pentru perioada auditată, MF avea obligația de a elabora Ghidul operațional privind coordonarea și managementul asistenței externe care, potrivit pct.32 din Regulamentul cu privire la cadrul instituțional și mecanismul de coordonare și management al asistenței extern</w:t>
      </w:r>
      <w:r w:rsidR="004A7020">
        <w:rPr>
          <w:rFonts w:ascii="Times New Roman" w:hAnsi="Times New Roman" w:cs="Times New Roman"/>
          <w:sz w:val="24"/>
          <w:szCs w:val="24"/>
          <w:lang w:val="ro-MD"/>
        </w:rPr>
        <w:t>e</w:t>
      </w:r>
      <w:r w:rsidRPr="00483DC7">
        <w:rPr>
          <w:rStyle w:val="FootnoteReference"/>
          <w:rFonts w:ascii="Times New Roman" w:hAnsi="Times New Roman" w:cs="Times New Roman"/>
          <w:sz w:val="24"/>
          <w:szCs w:val="24"/>
          <w:lang w:val="ro-MD"/>
        </w:rPr>
        <w:footnoteReference w:id="45"/>
      </w:r>
      <w:r w:rsidRPr="00483DC7">
        <w:rPr>
          <w:rFonts w:ascii="Times New Roman" w:hAnsi="Times New Roman" w:cs="Times New Roman"/>
          <w:sz w:val="24"/>
          <w:szCs w:val="24"/>
          <w:lang w:val="ro-MD"/>
        </w:rPr>
        <w:t xml:space="preserve">, urma să stabilească condițiile de fond și de formă ale rapoartelor de monitorizare a implementării proiectelor/programelor de asistență externă, în scopul evaluării eficienței, eficacității, impactului și durabilității acestora. </w:t>
      </w:r>
    </w:p>
    <w:p w14:paraId="59F2B55D" w14:textId="4D791EB6"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Potrivit rezultatelor auditului public extern, finalizat cu adoptarea HCC nr.19/2023</w:t>
      </w:r>
      <w:r w:rsidRPr="00483DC7">
        <w:rPr>
          <w:rStyle w:val="FootnoteReference"/>
          <w:rFonts w:ascii="Times New Roman" w:hAnsi="Times New Roman" w:cs="Times New Roman"/>
          <w:sz w:val="24"/>
          <w:szCs w:val="24"/>
          <w:lang w:val="ro-MD"/>
        </w:rPr>
        <w:footnoteReference w:id="46"/>
      </w:r>
      <w:r w:rsidR="00E23D4A">
        <w:rPr>
          <w:rFonts w:ascii="Times New Roman" w:hAnsi="Times New Roman" w:cs="Times New Roman"/>
          <w:sz w:val="24"/>
          <w:szCs w:val="24"/>
          <w:lang w:val="ro-MD"/>
        </w:rPr>
        <w:t xml:space="preserve">, în perioada </w:t>
      </w:r>
      <w:r w:rsidRPr="00483DC7">
        <w:rPr>
          <w:rFonts w:ascii="Times New Roman" w:hAnsi="Times New Roman" w:cs="Times New Roman"/>
          <w:sz w:val="24"/>
          <w:szCs w:val="24"/>
          <w:lang w:val="ro-MD"/>
        </w:rPr>
        <w:t xml:space="preserve">2018-2023 MF nu a întreprins măsuri în vederea aprobării Ghidului operațional nominalizat, situația fiind motivată de către MF prin instabilitatea politică din anii 2018-2021, suprapunerile de atribuții și neclaritățile aferente procesului. </w:t>
      </w:r>
    </w:p>
    <w:p w14:paraId="4F248993" w14:textId="070CBAAD"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Începând cu 22.11.2023, </w:t>
      </w:r>
      <w:r w:rsidR="00E23D4A">
        <w:rPr>
          <w:rFonts w:ascii="Times New Roman" w:hAnsi="Times New Roman" w:cs="Times New Roman"/>
          <w:sz w:val="24"/>
          <w:szCs w:val="24"/>
          <w:lang w:val="ro-MD"/>
        </w:rPr>
        <w:t xml:space="preserve">ca </w:t>
      </w:r>
      <w:r w:rsidRPr="00483DC7">
        <w:rPr>
          <w:rFonts w:ascii="Times New Roman" w:hAnsi="Times New Roman" w:cs="Times New Roman"/>
          <w:sz w:val="24"/>
          <w:szCs w:val="24"/>
          <w:lang w:val="ro-MD"/>
        </w:rPr>
        <w:t>urmare a intrării în vigoare a HG nr.888/2023</w:t>
      </w:r>
      <w:r w:rsidRPr="00483DC7">
        <w:rPr>
          <w:rStyle w:val="FootnoteReference"/>
          <w:rFonts w:ascii="Times New Roman" w:hAnsi="Times New Roman" w:cs="Times New Roman"/>
          <w:sz w:val="24"/>
          <w:szCs w:val="24"/>
          <w:lang w:val="ro-MD"/>
        </w:rPr>
        <w:footnoteReference w:id="47"/>
      </w:r>
      <w:r w:rsidRPr="00483DC7">
        <w:rPr>
          <w:rFonts w:ascii="Times New Roman" w:hAnsi="Times New Roman" w:cs="Times New Roman"/>
          <w:sz w:val="24"/>
          <w:szCs w:val="24"/>
          <w:lang w:val="ro-MD"/>
        </w:rPr>
        <w:t>, sarcinile și atribuțiile autorității naționale de coordonare a asistenței externe a</w:t>
      </w:r>
      <w:r w:rsidR="00E23D4A">
        <w:rPr>
          <w:rFonts w:ascii="Times New Roman" w:hAnsi="Times New Roman" w:cs="Times New Roman"/>
          <w:sz w:val="24"/>
          <w:szCs w:val="24"/>
          <w:lang w:val="ro-MD"/>
        </w:rPr>
        <w:t>u</w:t>
      </w:r>
      <w:r w:rsidRPr="00483DC7">
        <w:rPr>
          <w:rFonts w:ascii="Times New Roman" w:hAnsi="Times New Roman" w:cs="Times New Roman"/>
          <w:sz w:val="24"/>
          <w:szCs w:val="24"/>
          <w:lang w:val="ro-MD"/>
        </w:rPr>
        <w:t xml:space="preserve"> fost transmis</w:t>
      </w:r>
      <w:r w:rsidR="00E23D4A">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de la MF către Cancelaria de Stat, iar obligația elaborării Ghidului a fost exclusă atât pentru MF, cât și pentru Cancelaria de Stat. Modificările operate nu au vizat însă și prevederile pct. 32 din Regulamentul cu privire la cadrul instituțional și mecanismul de coordonare și management al asistenței externe, care stabilește obligativitatea desfășurării procesului de monitorizare a implementării proiectelor/programelor de asistență externă prin intermediul rapoartelor prezentate în Ghidul operațional privind coordonarea și managementul asistenței externe.  </w:t>
      </w:r>
    </w:p>
    <w:p w14:paraId="47BEAF9B" w14:textId="6028086A" w:rsidR="00BF216D" w:rsidRPr="00483DC7" w:rsidRDefault="00BF216D" w:rsidP="00BF216D">
      <w:pPr>
        <w:spacing w:after="0" w:line="276" w:lineRule="auto"/>
        <w:ind w:firstLine="709"/>
        <w:jc w:val="both"/>
        <w:rPr>
          <w:rFonts w:ascii="Times New Roman" w:hAnsi="Times New Roman" w:cs="Times New Roman"/>
          <w:sz w:val="24"/>
          <w:szCs w:val="24"/>
          <w:shd w:val="clear" w:color="auto" w:fill="FFFFFF"/>
          <w:lang w:val="ro-MD"/>
        </w:rPr>
      </w:pPr>
      <w:r w:rsidRPr="00483DC7">
        <w:rPr>
          <w:rFonts w:ascii="Times New Roman" w:hAnsi="Times New Roman" w:cs="Times New Roman"/>
          <w:sz w:val="24"/>
          <w:szCs w:val="24"/>
          <w:lang w:val="ro-MD"/>
        </w:rPr>
        <w:t xml:space="preserve">Este de menționat faptul că, </w:t>
      </w:r>
      <w:r w:rsidR="0087110B" w:rsidRPr="00483DC7">
        <w:rPr>
          <w:rFonts w:ascii="Times New Roman" w:eastAsia="Calibri" w:hAnsi="Times New Roman" w:cs="Times New Roman"/>
          <w:sz w:val="24"/>
          <w:szCs w:val="24"/>
          <w:lang w:val="ro-MD"/>
        </w:rPr>
        <w:t>pe parcursul</w:t>
      </w:r>
      <w:r w:rsidRPr="00483DC7">
        <w:rPr>
          <w:rFonts w:ascii="Times New Roman" w:eastAsia="Calibri" w:hAnsi="Times New Roman" w:cs="Times New Roman"/>
          <w:sz w:val="24"/>
          <w:szCs w:val="24"/>
          <w:lang w:val="ro-MD"/>
        </w:rPr>
        <w:t xml:space="preserve"> auditului, la data de 22.08.2024, prevederile HG nr.377/2018 a</w:t>
      </w:r>
      <w:r w:rsidR="004A7020">
        <w:rPr>
          <w:rFonts w:ascii="Times New Roman" w:eastAsia="Calibri" w:hAnsi="Times New Roman" w:cs="Times New Roman"/>
          <w:sz w:val="24"/>
          <w:szCs w:val="24"/>
          <w:lang w:val="ro-MD"/>
        </w:rPr>
        <w:t>u</w:t>
      </w:r>
      <w:r w:rsidRPr="00483DC7">
        <w:rPr>
          <w:rFonts w:ascii="Times New Roman" w:eastAsia="Calibri" w:hAnsi="Times New Roman" w:cs="Times New Roman"/>
          <w:sz w:val="24"/>
          <w:szCs w:val="24"/>
          <w:lang w:val="ro-MD"/>
        </w:rPr>
        <w:t xml:space="preserve"> </w:t>
      </w:r>
      <w:r w:rsidR="008516F0">
        <w:rPr>
          <w:rFonts w:ascii="Times New Roman" w:eastAsia="Calibri" w:hAnsi="Times New Roman" w:cs="Times New Roman"/>
          <w:sz w:val="24"/>
          <w:szCs w:val="24"/>
          <w:lang w:val="ro-MD"/>
        </w:rPr>
        <w:t>suportat</w:t>
      </w:r>
      <w:r w:rsidRPr="00483DC7">
        <w:rPr>
          <w:rFonts w:ascii="Times New Roman" w:eastAsia="Calibri" w:hAnsi="Times New Roman" w:cs="Times New Roman"/>
          <w:sz w:val="24"/>
          <w:szCs w:val="24"/>
          <w:lang w:val="ro-MD"/>
        </w:rPr>
        <w:t xml:space="preserve"> noi modificări</w:t>
      </w:r>
      <w:r w:rsidRPr="00483DC7">
        <w:rPr>
          <w:rStyle w:val="FootnoteReference"/>
          <w:rFonts w:ascii="Times New Roman" w:eastAsia="Calibri" w:hAnsi="Times New Roman" w:cs="Times New Roman"/>
          <w:sz w:val="24"/>
          <w:szCs w:val="24"/>
          <w:lang w:val="ro-MD"/>
        </w:rPr>
        <w:footnoteReference w:id="48"/>
      </w:r>
      <w:r w:rsidR="00E23D4A">
        <w:rPr>
          <w:rFonts w:ascii="Times New Roman" w:eastAsia="Calibri" w:hAnsi="Times New Roman" w:cs="Times New Roman"/>
          <w:sz w:val="24"/>
          <w:szCs w:val="24"/>
          <w:lang w:val="ro-MD"/>
        </w:rPr>
        <w:t>, potrivit cărora</w:t>
      </w:r>
      <w:r w:rsidRPr="00483DC7">
        <w:rPr>
          <w:rFonts w:ascii="Times New Roman" w:eastAsia="Calibri" w:hAnsi="Times New Roman" w:cs="Times New Roman"/>
          <w:sz w:val="24"/>
          <w:szCs w:val="24"/>
          <w:lang w:val="ro-MD"/>
        </w:rPr>
        <w:t xml:space="preserve"> procesul de monitorizare a implementării proiectelor/programelor de asistenţă externă urmează a fi efectuat </w:t>
      </w:r>
      <w:r w:rsidRPr="00483DC7">
        <w:rPr>
          <w:rFonts w:ascii="Times New Roman" w:eastAsia="Calibri" w:hAnsi="Times New Roman" w:cs="Times New Roman"/>
          <w:i/>
          <w:sz w:val="24"/>
          <w:szCs w:val="24"/>
          <w:lang w:val="ro-MD"/>
        </w:rPr>
        <w:t xml:space="preserve">„[…] </w:t>
      </w:r>
      <w:r w:rsidRPr="00483DC7">
        <w:rPr>
          <w:rFonts w:ascii="Times New Roman" w:hAnsi="Times New Roman" w:cs="Times New Roman"/>
          <w:i/>
          <w:sz w:val="24"/>
          <w:szCs w:val="24"/>
          <w:shd w:val="clear" w:color="auto" w:fill="FFFFFF"/>
          <w:lang w:val="ro-MD"/>
        </w:rPr>
        <w:t>în conformitate cu orientările comitetului de asistență pentru dezvoltare din cadrul Organizației pentru Cooperare și Dezvoltare Economică (OCDE-DAC) pentru monitorizarea și evaluarea asistenței externe”</w:t>
      </w:r>
      <w:r w:rsidRPr="00483DC7">
        <w:rPr>
          <w:rStyle w:val="FootnoteReference"/>
          <w:rFonts w:ascii="Times New Roman" w:hAnsi="Times New Roman" w:cs="Times New Roman"/>
          <w:i/>
          <w:sz w:val="24"/>
          <w:szCs w:val="24"/>
          <w:shd w:val="clear" w:color="auto" w:fill="FFFFFF"/>
          <w:lang w:val="ro-MD"/>
        </w:rPr>
        <w:footnoteReference w:id="49"/>
      </w:r>
      <w:r w:rsidRPr="00483DC7">
        <w:rPr>
          <w:rFonts w:ascii="Times New Roman" w:hAnsi="Times New Roman" w:cs="Times New Roman"/>
          <w:sz w:val="24"/>
          <w:szCs w:val="24"/>
          <w:shd w:val="clear" w:color="auto" w:fill="FFFFFF"/>
          <w:lang w:val="ro-MD"/>
        </w:rPr>
        <w:t>. Prin urmare, atât noțiunea, cât și conceptul Ghidului, ca document metodologic de suport în procesul de monitorizare, raportare și evaluare a asistenței externe, au fost abrogate.</w:t>
      </w:r>
    </w:p>
    <w:p w14:paraId="7963BA07" w14:textId="6A8BDA03" w:rsidR="00BF216D" w:rsidRPr="00483DC7" w:rsidRDefault="008516F0" w:rsidP="00CC7054">
      <w:pPr>
        <w:ind w:firstLine="709"/>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 xml:space="preserve">Auditul denotă că, pentru a asigura coerența modului în care informațiile sunt prezentate și interpretate, </w:t>
      </w:r>
      <w:r w:rsidR="00EA5150">
        <w:rPr>
          <w:rFonts w:ascii="Times New Roman" w:hAnsi="Times New Roman" w:cs="Times New Roman"/>
          <w:sz w:val="24"/>
          <w:szCs w:val="24"/>
          <w:shd w:val="clear" w:color="auto" w:fill="FFFFFF"/>
          <w:lang w:val="ro-MD"/>
        </w:rPr>
        <w:t xml:space="preserve">precum și pentru a asigura </w:t>
      </w:r>
      <w:r w:rsidR="00CC7054">
        <w:rPr>
          <w:rFonts w:ascii="Times New Roman" w:hAnsi="Times New Roman" w:cs="Times New Roman"/>
          <w:sz w:val="24"/>
          <w:szCs w:val="24"/>
          <w:shd w:val="clear" w:color="auto" w:fill="FFFFFF"/>
          <w:lang w:val="ro-MD"/>
        </w:rPr>
        <w:t xml:space="preserve">comparabilitatea și consistența rapoartelor aferente diferitor proiecte, este necesară aprobarea unui ghid metodologic, care ar veni să excludă </w:t>
      </w:r>
      <w:r w:rsidR="00BF216D" w:rsidRPr="00483DC7">
        <w:rPr>
          <w:rFonts w:ascii="Times New Roman" w:hAnsi="Times New Roman" w:cs="Times New Roman"/>
          <w:sz w:val="24"/>
          <w:szCs w:val="24"/>
          <w:shd w:val="clear" w:color="auto" w:fill="FFFFFF"/>
          <w:lang w:val="ro-MD"/>
        </w:rPr>
        <w:t>raportările neuniforme și incomplete a progresului înregistrat în cadrul procesului de implementare a proiectelor</w:t>
      </w:r>
      <w:r w:rsidR="0087110B" w:rsidRPr="00483DC7">
        <w:rPr>
          <w:rFonts w:ascii="Times New Roman" w:hAnsi="Times New Roman" w:cs="Times New Roman"/>
          <w:sz w:val="24"/>
          <w:szCs w:val="24"/>
          <w:shd w:val="clear" w:color="auto" w:fill="FFFFFF"/>
          <w:lang w:val="ro-MD"/>
        </w:rPr>
        <w:t>/programelor de asistență externă</w:t>
      </w:r>
      <w:r w:rsidR="00BF216D" w:rsidRPr="00483DC7">
        <w:rPr>
          <w:rFonts w:ascii="Times New Roman" w:hAnsi="Times New Roman" w:cs="Times New Roman"/>
          <w:sz w:val="24"/>
          <w:szCs w:val="24"/>
          <w:shd w:val="clear" w:color="auto" w:fill="FFFFFF"/>
          <w:lang w:val="ro-MD"/>
        </w:rPr>
        <w:t>.</w:t>
      </w:r>
    </w:p>
    <w:p w14:paraId="01E48DE4" w14:textId="5B321202" w:rsidR="00BF216D" w:rsidRPr="00483DC7" w:rsidRDefault="00BF216D" w:rsidP="00BF216D">
      <w:pPr>
        <w:spacing w:after="0"/>
        <w:jc w:val="both"/>
        <w:rPr>
          <w:rFonts w:ascii="Times New Roman" w:hAnsi="Times New Roman" w:cs="Times New Roman"/>
          <w:b/>
          <w:sz w:val="24"/>
          <w:szCs w:val="24"/>
          <w:lang w:val="ro-MD"/>
        </w:rPr>
      </w:pPr>
      <w:r w:rsidRPr="00483DC7">
        <w:rPr>
          <w:rFonts w:ascii="Times New Roman" w:hAnsi="Times New Roman" w:cs="Times New Roman"/>
          <w:b/>
          <w:sz w:val="24"/>
          <w:szCs w:val="24"/>
          <w:shd w:val="clear" w:color="auto" w:fill="FFFFFF"/>
          <w:lang w:val="ro-MD"/>
        </w:rPr>
        <w:t xml:space="preserve">4.1.2.3. </w:t>
      </w:r>
      <w:r w:rsidRPr="00483DC7">
        <w:rPr>
          <w:rFonts w:ascii="Times New Roman" w:hAnsi="Times New Roman" w:cs="Times New Roman"/>
          <w:b/>
          <w:sz w:val="24"/>
          <w:szCs w:val="24"/>
          <w:lang w:val="ro-MD"/>
        </w:rPr>
        <w:t>Indicatorii de performanță, stabiliți în Planurile de activitate al</w:t>
      </w:r>
      <w:r w:rsidR="00F42E82">
        <w:rPr>
          <w:rFonts w:ascii="Times New Roman" w:hAnsi="Times New Roman" w:cs="Times New Roman"/>
          <w:b/>
          <w:sz w:val="24"/>
          <w:szCs w:val="24"/>
          <w:lang w:val="ro-MD"/>
        </w:rPr>
        <w:t>e</w:t>
      </w:r>
      <w:r w:rsidRPr="00483DC7">
        <w:rPr>
          <w:rFonts w:ascii="Times New Roman" w:hAnsi="Times New Roman" w:cs="Times New Roman"/>
          <w:b/>
          <w:sz w:val="24"/>
          <w:szCs w:val="24"/>
          <w:lang w:val="ro-MD"/>
        </w:rPr>
        <w:t xml:space="preserve"> UIPFAE, respectă parțial criteriile SMART, fapt ce diminuează impactul măsurilor întreprinse la dezvoltarea unei culturi organizaționale orientate spre îmbunătățire continuă.</w:t>
      </w:r>
    </w:p>
    <w:p w14:paraId="3824144F" w14:textId="22C269A1"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lastRenderedPageBreak/>
        <w:t>Potrivit pct. 55 din HG nr.386/2020, Planurile anuale de acțiuni ale UIPFAE urmează să conțină mai mulți indicatori cu valori de referință și ținte ce urmează a fi atinse la sfârșitul anului de gestiune, printre care: i) indicatorii de performanță instituțională, ii) indicatori</w:t>
      </w:r>
      <w:r w:rsidR="00E23D4A">
        <w:rPr>
          <w:rFonts w:ascii="Times New Roman" w:hAnsi="Times New Roman" w:cs="Times New Roman"/>
          <w:sz w:val="24"/>
          <w:szCs w:val="24"/>
          <w:lang w:val="ro-MD"/>
        </w:rPr>
        <w:t>i</w:t>
      </w:r>
      <w:r w:rsidRPr="00483DC7">
        <w:rPr>
          <w:rFonts w:ascii="Times New Roman" w:hAnsi="Times New Roman" w:cs="Times New Roman"/>
          <w:sz w:val="24"/>
          <w:szCs w:val="24"/>
          <w:lang w:val="ro-MD"/>
        </w:rPr>
        <w:t xml:space="preserve"> asociați obiectivelor preluate din strategiile și programele sectoriale privind gestionarea asistenței externe și dezvoltarea sistemului de control intern managerial, precum și iii) indicatori</w:t>
      </w:r>
      <w:r w:rsidR="00E23D4A">
        <w:rPr>
          <w:rFonts w:ascii="Times New Roman" w:hAnsi="Times New Roman" w:cs="Times New Roman"/>
          <w:sz w:val="24"/>
          <w:szCs w:val="24"/>
          <w:lang w:val="ro-MD"/>
        </w:rPr>
        <w:t>i</w:t>
      </w:r>
      <w:r w:rsidRPr="00483DC7">
        <w:rPr>
          <w:rFonts w:ascii="Times New Roman" w:hAnsi="Times New Roman" w:cs="Times New Roman"/>
          <w:sz w:val="24"/>
          <w:szCs w:val="24"/>
          <w:lang w:val="ro-MD"/>
        </w:rPr>
        <w:t xml:space="preserve"> de monitorizare (de rezultat și de produs), cu valori-ținte și cu dezagregările disponibile.</w:t>
      </w:r>
    </w:p>
    <w:p w14:paraId="5B2BE22F" w14:textId="77777777"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Probele de audit denotă că, deși în Planurile anuale de acțiuni ale UIPFAE au fost incluși indicatori de performanță, acestea nu întrunesc în măsură deplină cerințele SMART, în special la aspectele ce țin de măsurabilitatea și abordabilitatea acestora. </w:t>
      </w:r>
    </w:p>
    <w:p w14:paraId="3D90FA7E" w14:textId="0BB38519"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Spre exemplu, în Planurile de activitate ale UIPCPC, UIPCLPSV II și UCIP IFAD au fost setați următorii indicatori de monitorizare nemăsurabili: „numărul rapoartelor prezentate”, „numărul proiectelor aprobate”, „procese-verbale ale ședințelor”</w:t>
      </w:r>
      <w:r w:rsidR="00E23D4A">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etc. În același timp, pentru trimestr</w:t>
      </w:r>
      <w:r w:rsidR="00E23D4A">
        <w:rPr>
          <w:rFonts w:ascii="Times New Roman" w:hAnsi="Times New Roman" w:cs="Times New Roman"/>
          <w:sz w:val="24"/>
          <w:szCs w:val="24"/>
          <w:lang w:val="ro-MD"/>
        </w:rPr>
        <w:t>ele</w:t>
      </w:r>
      <w:r w:rsidRPr="00483DC7">
        <w:rPr>
          <w:rFonts w:ascii="Times New Roman" w:hAnsi="Times New Roman" w:cs="Times New Roman"/>
          <w:sz w:val="24"/>
          <w:szCs w:val="24"/>
          <w:lang w:val="ro-MD"/>
        </w:rPr>
        <w:t xml:space="preserve"> I și II al</w:t>
      </w:r>
      <w:r w:rsidR="00F42E82">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anului 2022, UCIMPA și-a setat următorii indicatori de monitorizare nemăsurabili și interpretabili: „capacități tehnice ANSA fortificate” și „capacități tehnice MAIA fortificate”. Situații similare de includere în planurile de activitate a unor indicatori de produs/rezultat nemăsurabili au fost atestate și în cazul altor instituții publice auditate. </w:t>
      </w:r>
    </w:p>
    <w:p w14:paraId="7DE6904E" w14:textId="44F7FDE2" w:rsidR="00BF216D" w:rsidRPr="00483DC7" w:rsidRDefault="00BF216D" w:rsidP="00BF216D">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w:t>
      </w:r>
      <w:r w:rsidR="000F0BB7" w:rsidRPr="00483DC7">
        <w:rPr>
          <w:rFonts w:ascii="Times New Roman" w:hAnsi="Times New Roman" w:cs="Times New Roman"/>
          <w:sz w:val="24"/>
          <w:szCs w:val="24"/>
          <w:lang w:val="ro-MD"/>
        </w:rPr>
        <w:t>cazul unor UIPFAE</w:t>
      </w:r>
      <w:r w:rsidRPr="00483DC7">
        <w:rPr>
          <w:rFonts w:ascii="Times New Roman" w:hAnsi="Times New Roman" w:cs="Times New Roman"/>
          <w:sz w:val="24"/>
          <w:szCs w:val="24"/>
          <w:lang w:val="ro-MD"/>
        </w:rPr>
        <w:t>, lipsa unei valori de referință cantitativ</w:t>
      </w:r>
      <w:r w:rsidR="00E7153A" w:rsidRPr="00483DC7">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în formularea indicatorilor de monitorizare exemplificați, poate genera conflicte între management și angajați, ca rezultat al unor evaluări subiective a</w:t>
      </w:r>
      <w:r w:rsidR="00E23D4A">
        <w:rPr>
          <w:rFonts w:ascii="Times New Roman" w:hAnsi="Times New Roman" w:cs="Times New Roman"/>
          <w:sz w:val="24"/>
          <w:szCs w:val="24"/>
          <w:lang w:val="ro-MD"/>
        </w:rPr>
        <w:t>le</w:t>
      </w:r>
      <w:r w:rsidRPr="00483DC7">
        <w:rPr>
          <w:rFonts w:ascii="Times New Roman" w:hAnsi="Times New Roman" w:cs="Times New Roman"/>
          <w:sz w:val="24"/>
          <w:szCs w:val="24"/>
          <w:lang w:val="ro-MD"/>
        </w:rPr>
        <w:t xml:space="preserve"> eforturilor angajaților în obținerea rezultatului scontat și/sau a</w:t>
      </w:r>
      <w:r w:rsidR="00E23D4A">
        <w:rPr>
          <w:rFonts w:ascii="Times New Roman" w:hAnsi="Times New Roman" w:cs="Times New Roman"/>
          <w:sz w:val="24"/>
          <w:szCs w:val="24"/>
          <w:lang w:val="ro-MD"/>
        </w:rPr>
        <w:t>l</w:t>
      </w:r>
      <w:r w:rsidRPr="00483DC7">
        <w:rPr>
          <w:rFonts w:ascii="Times New Roman" w:hAnsi="Times New Roman" w:cs="Times New Roman"/>
          <w:sz w:val="24"/>
          <w:szCs w:val="24"/>
          <w:lang w:val="ro-MD"/>
        </w:rPr>
        <w:t xml:space="preserve"> unor presiuni excesive în realizarea unor indicatori imposibili de atins.   </w:t>
      </w:r>
    </w:p>
    <w:p w14:paraId="113B0D0E" w14:textId="7A5EF6A1" w:rsidR="002C12EB" w:rsidRPr="00483DC7" w:rsidRDefault="00463A84" w:rsidP="00463A8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Un alt exemplu elocvent sunt</w:t>
      </w:r>
      <w:r w:rsidR="00BF216D" w:rsidRPr="00483DC7">
        <w:rPr>
          <w:rFonts w:ascii="Times New Roman" w:hAnsi="Times New Roman" w:cs="Times New Roman"/>
          <w:sz w:val="24"/>
          <w:szCs w:val="24"/>
          <w:lang w:val="ro-MD"/>
        </w:rPr>
        <w:t xml:space="preserve"> planurile de activitate al</w:t>
      </w:r>
      <w:r w:rsidR="00F42E82">
        <w:rPr>
          <w:rFonts w:ascii="Times New Roman" w:hAnsi="Times New Roman" w:cs="Times New Roman"/>
          <w:sz w:val="24"/>
          <w:szCs w:val="24"/>
          <w:lang w:val="ro-MD"/>
        </w:rPr>
        <w:t>e</w:t>
      </w:r>
      <w:r w:rsidR="00BF216D" w:rsidRPr="00483DC7">
        <w:rPr>
          <w:rFonts w:ascii="Times New Roman" w:hAnsi="Times New Roman" w:cs="Times New Roman"/>
          <w:sz w:val="24"/>
          <w:szCs w:val="24"/>
          <w:lang w:val="ro-MD"/>
        </w:rPr>
        <w:t xml:space="preserve"> UCIMP DS pentru anii 2022 și 2023, </w:t>
      </w:r>
      <w:r w:rsidRPr="00483DC7">
        <w:rPr>
          <w:rFonts w:ascii="Times New Roman" w:hAnsi="Times New Roman" w:cs="Times New Roman"/>
          <w:sz w:val="24"/>
          <w:szCs w:val="24"/>
          <w:lang w:val="ro-MD"/>
        </w:rPr>
        <w:t xml:space="preserve">care </w:t>
      </w:r>
      <w:r w:rsidR="00BF216D" w:rsidRPr="00483DC7">
        <w:rPr>
          <w:rFonts w:ascii="Times New Roman" w:hAnsi="Times New Roman" w:cs="Times New Roman"/>
          <w:sz w:val="24"/>
          <w:szCs w:val="24"/>
          <w:lang w:val="ro-MD"/>
        </w:rPr>
        <w:t>conțin doar indicatori financiari pentru activitățile planificate, dar nu și indicatori de monitorizare, atât cantitativi</w:t>
      </w:r>
      <w:r w:rsidR="00E23D4A">
        <w:rPr>
          <w:rFonts w:ascii="Times New Roman" w:hAnsi="Times New Roman" w:cs="Times New Roman"/>
          <w:sz w:val="24"/>
          <w:szCs w:val="24"/>
          <w:lang w:val="ro-MD"/>
        </w:rPr>
        <w:t>,</w:t>
      </w:r>
      <w:r w:rsidR="00BF216D" w:rsidRPr="00483DC7">
        <w:rPr>
          <w:rFonts w:ascii="Times New Roman" w:hAnsi="Times New Roman" w:cs="Times New Roman"/>
          <w:sz w:val="24"/>
          <w:szCs w:val="24"/>
          <w:lang w:val="ro-MD"/>
        </w:rPr>
        <w:t xml:space="preserve"> cât și calitativi, pentru evaluarea atingerii rezultatelor scontate, ceea ce poate afecta performanța operațională a instituției publice respective, pri</w:t>
      </w:r>
      <w:r w:rsidR="007F2DDC">
        <w:rPr>
          <w:rFonts w:ascii="Times New Roman" w:hAnsi="Times New Roman" w:cs="Times New Roman"/>
          <w:sz w:val="24"/>
          <w:szCs w:val="24"/>
          <w:lang w:val="ro-MD"/>
        </w:rPr>
        <w:t>n luarea unor decizii neprobate și/sau hazardate</w:t>
      </w:r>
      <w:r w:rsidR="00BF216D" w:rsidRPr="00483DC7">
        <w:rPr>
          <w:rFonts w:ascii="Times New Roman" w:hAnsi="Times New Roman" w:cs="Times New Roman"/>
          <w:sz w:val="24"/>
          <w:szCs w:val="24"/>
          <w:lang w:val="ro-MD"/>
        </w:rPr>
        <w:t xml:space="preserve">. </w:t>
      </w:r>
      <w:r w:rsidR="002F4909" w:rsidRPr="00483DC7">
        <w:rPr>
          <w:rFonts w:ascii="Times New Roman" w:hAnsi="Times New Roman" w:cs="Times New Roman"/>
          <w:sz w:val="24"/>
          <w:szCs w:val="24"/>
          <w:lang w:val="ro-MD"/>
        </w:rPr>
        <w:t>Potrivit explicați</w:t>
      </w:r>
      <w:r w:rsidR="00E23D4A">
        <w:rPr>
          <w:rFonts w:ascii="Times New Roman" w:hAnsi="Times New Roman" w:cs="Times New Roman"/>
          <w:sz w:val="24"/>
          <w:szCs w:val="24"/>
          <w:lang w:val="ro-MD"/>
        </w:rPr>
        <w:t>i</w:t>
      </w:r>
      <w:r w:rsidR="002F4909" w:rsidRPr="00483DC7">
        <w:rPr>
          <w:rFonts w:ascii="Times New Roman" w:hAnsi="Times New Roman" w:cs="Times New Roman"/>
          <w:sz w:val="24"/>
          <w:szCs w:val="24"/>
          <w:lang w:val="ro-MD"/>
        </w:rPr>
        <w:t xml:space="preserve">lor UCIMP DS, </w:t>
      </w:r>
      <w:r w:rsidR="00064CDC" w:rsidRPr="00483DC7">
        <w:rPr>
          <w:rFonts w:ascii="Times New Roman" w:hAnsi="Times New Roman" w:cs="Times New Roman"/>
          <w:sz w:val="24"/>
          <w:szCs w:val="24"/>
          <w:lang w:val="ro-MD"/>
        </w:rPr>
        <w:t xml:space="preserve">indicatorii de monitorizare au fost setați la nivelul programului de asistență externă și sunt specificați în Planul de monitorizare și </w:t>
      </w:r>
      <w:r w:rsidR="003068E7" w:rsidRPr="00483DC7">
        <w:rPr>
          <w:rFonts w:ascii="Times New Roman" w:hAnsi="Times New Roman" w:cs="Times New Roman"/>
          <w:sz w:val="24"/>
          <w:szCs w:val="24"/>
          <w:lang w:val="ro-MD"/>
        </w:rPr>
        <w:t>e</w:t>
      </w:r>
      <w:r w:rsidR="00064CDC" w:rsidRPr="00483DC7">
        <w:rPr>
          <w:rFonts w:ascii="Times New Roman" w:hAnsi="Times New Roman" w:cs="Times New Roman"/>
          <w:sz w:val="24"/>
          <w:szCs w:val="24"/>
          <w:lang w:val="ro-MD"/>
        </w:rPr>
        <w:t>valuare pentru Programul „Consolidarea Controlului Tuberculozei și Reducerea Mortalității Asociate SIDA în Republica Moldova”</w:t>
      </w:r>
      <w:r w:rsidRPr="00483DC7">
        <w:rPr>
          <w:rStyle w:val="FootnoteReference"/>
          <w:rFonts w:ascii="Times New Roman" w:hAnsi="Times New Roman" w:cs="Times New Roman"/>
          <w:sz w:val="24"/>
          <w:szCs w:val="24"/>
          <w:lang w:val="ro-MD"/>
        </w:rPr>
        <w:footnoteReference w:id="50"/>
      </w:r>
      <w:r w:rsidRPr="00483DC7">
        <w:rPr>
          <w:rFonts w:ascii="Times New Roman" w:hAnsi="Times New Roman" w:cs="Times New Roman"/>
          <w:sz w:val="24"/>
          <w:szCs w:val="24"/>
          <w:lang w:val="ro-MD"/>
        </w:rPr>
        <w:t>, elaborat în conformitate cu Cadrul de Performanță Programatică al donatorului extern, care</w:t>
      </w:r>
      <w:r w:rsidR="002C12EB" w:rsidRPr="00483DC7">
        <w:rPr>
          <w:rFonts w:ascii="Times New Roman" w:hAnsi="Times New Roman" w:cs="Times New Roman"/>
          <w:sz w:val="24"/>
          <w:szCs w:val="24"/>
          <w:lang w:val="ro-MD"/>
        </w:rPr>
        <w:t xml:space="preserve"> include informații detaliate despre indicatorii de impact și de rezultat (outcome) corelați </w:t>
      </w:r>
      <w:r w:rsidR="006D47D1">
        <w:rPr>
          <w:rFonts w:ascii="Times New Roman" w:hAnsi="Times New Roman" w:cs="Times New Roman"/>
          <w:sz w:val="24"/>
          <w:szCs w:val="24"/>
          <w:lang w:val="ro-MD"/>
        </w:rPr>
        <w:t>cu</w:t>
      </w:r>
      <w:r w:rsidR="002C12EB" w:rsidRPr="00483DC7">
        <w:rPr>
          <w:rFonts w:ascii="Times New Roman" w:hAnsi="Times New Roman" w:cs="Times New Roman"/>
          <w:sz w:val="24"/>
          <w:szCs w:val="24"/>
          <w:lang w:val="ro-MD"/>
        </w:rPr>
        <w:t xml:space="preserve"> scopul și obiectivele </w:t>
      </w:r>
      <w:r w:rsidR="006D47D1">
        <w:rPr>
          <w:rFonts w:ascii="Times New Roman" w:hAnsi="Times New Roman" w:cs="Times New Roman"/>
          <w:sz w:val="24"/>
          <w:szCs w:val="24"/>
          <w:lang w:val="ro-MD"/>
        </w:rPr>
        <w:t>P</w:t>
      </w:r>
      <w:r w:rsidR="002C12EB" w:rsidRPr="00483DC7">
        <w:rPr>
          <w:rFonts w:ascii="Times New Roman" w:hAnsi="Times New Roman" w:cs="Times New Roman"/>
          <w:sz w:val="24"/>
          <w:szCs w:val="24"/>
          <w:lang w:val="ro-MD"/>
        </w:rPr>
        <w:t xml:space="preserve">rogramului, precum și indicatori de acoperire/produs (coverage) – corelați </w:t>
      </w:r>
      <w:r w:rsidR="006D47D1">
        <w:rPr>
          <w:rFonts w:ascii="Times New Roman" w:hAnsi="Times New Roman" w:cs="Times New Roman"/>
          <w:sz w:val="24"/>
          <w:szCs w:val="24"/>
          <w:lang w:val="ro-MD"/>
        </w:rPr>
        <w:t>cu</w:t>
      </w:r>
      <w:r w:rsidR="002C12EB" w:rsidRPr="00483DC7">
        <w:rPr>
          <w:rFonts w:ascii="Times New Roman" w:hAnsi="Times New Roman" w:cs="Times New Roman"/>
          <w:sz w:val="24"/>
          <w:szCs w:val="24"/>
          <w:lang w:val="ro-MD"/>
        </w:rPr>
        <w:t xml:space="preserve"> modu</w:t>
      </w:r>
      <w:r w:rsidRPr="00483DC7">
        <w:rPr>
          <w:rFonts w:ascii="Times New Roman" w:hAnsi="Times New Roman" w:cs="Times New Roman"/>
          <w:sz w:val="24"/>
          <w:szCs w:val="24"/>
          <w:lang w:val="ro-MD"/>
        </w:rPr>
        <w:t xml:space="preserve">lele/intervențiile </w:t>
      </w:r>
      <w:r w:rsidR="006D47D1">
        <w:rPr>
          <w:rFonts w:ascii="Times New Roman" w:hAnsi="Times New Roman" w:cs="Times New Roman"/>
          <w:sz w:val="24"/>
          <w:szCs w:val="24"/>
          <w:lang w:val="ro-MD"/>
        </w:rPr>
        <w:t>P</w:t>
      </w:r>
      <w:r w:rsidRPr="00483DC7">
        <w:rPr>
          <w:rFonts w:ascii="Times New Roman" w:hAnsi="Times New Roman" w:cs="Times New Roman"/>
          <w:sz w:val="24"/>
          <w:szCs w:val="24"/>
          <w:lang w:val="ro-MD"/>
        </w:rPr>
        <w:t>rogramului.</w:t>
      </w:r>
    </w:p>
    <w:p w14:paraId="21708A5C" w14:textId="319FA253" w:rsidR="00FC47EC" w:rsidRPr="00483DC7" w:rsidRDefault="00ED3511" w:rsidP="00DE392A">
      <w:pPr>
        <w:spacing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w:t>
      </w:r>
      <w:r w:rsidR="00382F84" w:rsidRPr="00483DC7">
        <w:rPr>
          <w:rFonts w:ascii="Times New Roman" w:hAnsi="Times New Roman" w:cs="Times New Roman"/>
          <w:sz w:val="24"/>
          <w:szCs w:val="24"/>
          <w:lang w:val="ro-MD"/>
        </w:rPr>
        <w:t xml:space="preserve">concluzie, auditul denotă că Planurile de activitate ale UIPFAE reprezintă </w:t>
      </w:r>
      <w:r w:rsidR="00543C7A" w:rsidRPr="00483DC7">
        <w:rPr>
          <w:rFonts w:ascii="Times New Roman" w:hAnsi="Times New Roman" w:cs="Times New Roman"/>
          <w:sz w:val="24"/>
          <w:szCs w:val="24"/>
          <w:lang w:val="ro-MD"/>
        </w:rPr>
        <w:t xml:space="preserve">un instrument de planificare strategică pe termen scurt, care permite monitorizarea și evaluarea progresului în atingerea obiectivelor planificate. De aceea, </w:t>
      </w:r>
      <w:r w:rsidRPr="00483DC7">
        <w:rPr>
          <w:rFonts w:ascii="Times New Roman" w:hAnsi="Times New Roman" w:cs="Times New Roman"/>
          <w:sz w:val="24"/>
          <w:szCs w:val="24"/>
          <w:lang w:val="ro-MD"/>
        </w:rPr>
        <w:t>este esențial ca în Planurile de activitate ale UIPFAE</w:t>
      </w:r>
      <w:r w:rsidR="00382F84" w:rsidRPr="00483DC7">
        <w:rPr>
          <w:rFonts w:ascii="Times New Roman" w:hAnsi="Times New Roman" w:cs="Times New Roman"/>
          <w:sz w:val="24"/>
          <w:szCs w:val="24"/>
          <w:lang w:val="ro-MD"/>
        </w:rPr>
        <w:t xml:space="preserve"> să fie transpu</w:t>
      </w:r>
      <w:r w:rsidR="00DE392A" w:rsidRPr="00483DC7">
        <w:rPr>
          <w:rFonts w:ascii="Times New Roman" w:hAnsi="Times New Roman" w:cs="Times New Roman"/>
          <w:sz w:val="24"/>
          <w:szCs w:val="24"/>
          <w:lang w:val="ro-MD"/>
        </w:rPr>
        <w:t xml:space="preserve">și </w:t>
      </w:r>
      <w:r w:rsidR="00382F84" w:rsidRPr="00483DC7">
        <w:rPr>
          <w:rFonts w:ascii="Times New Roman" w:hAnsi="Times New Roman" w:cs="Times New Roman"/>
          <w:sz w:val="24"/>
          <w:szCs w:val="24"/>
          <w:lang w:val="ro-MD"/>
        </w:rPr>
        <w:t>indicatorii de monitorizare specificați în documentele aferente implementării Acordurilor de finanțare a proiectelor finanțate din surse externe</w:t>
      </w:r>
      <w:r w:rsidR="00543C7A" w:rsidRPr="00483DC7">
        <w:rPr>
          <w:rFonts w:ascii="Times New Roman" w:hAnsi="Times New Roman" w:cs="Times New Roman"/>
          <w:sz w:val="24"/>
          <w:szCs w:val="24"/>
          <w:lang w:val="ro-MD"/>
        </w:rPr>
        <w:t>, în veder</w:t>
      </w:r>
      <w:r w:rsidR="00CA53B3" w:rsidRPr="00483DC7">
        <w:rPr>
          <w:rFonts w:ascii="Times New Roman" w:hAnsi="Times New Roman" w:cs="Times New Roman"/>
          <w:sz w:val="24"/>
          <w:szCs w:val="24"/>
          <w:lang w:val="ro-MD"/>
        </w:rPr>
        <w:t xml:space="preserve">ea facilitării alocării eficiente și gestionării optime a </w:t>
      </w:r>
      <w:r w:rsidR="00DE392A" w:rsidRPr="00483DC7">
        <w:rPr>
          <w:rFonts w:ascii="Times New Roman" w:hAnsi="Times New Roman" w:cs="Times New Roman"/>
          <w:sz w:val="24"/>
          <w:szCs w:val="24"/>
          <w:lang w:val="ro-MD"/>
        </w:rPr>
        <w:t xml:space="preserve">resurselor disponibile pentru atingerea obiectivelor planificate. </w:t>
      </w:r>
    </w:p>
    <w:bookmarkStart w:id="19" w:name="_Toc185943220"/>
    <w:p w14:paraId="7578AEB4" w14:textId="3ACF1D75" w:rsidR="00B320FE" w:rsidRPr="00483DC7" w:rsidRDefault="00B320FE" w:rsidP="00B320FE">
      <w:pPr>
        <w:pStyle w:val="Heading2"/>
        <w:spacing w:before="0"/>
        <w:jc w:val="both"/>
        <w:rPr>
          <w:rFonts w:ascii="Times New Roman" w:hAnsi="Times New Roman" w:cs="Times New Roman"/>
          <w:b/>
          <w:color w:val="auto"/>
          <w:sz w:val="24"/>
          <w:szCs w:val="24"/>
          <w:lang w:val="ro-MD"/>
        </w:rPr>
      </w:pPr>
      <w:r w:rsidRPr="00483DC7">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2490FB1D" wp14:editId="68FE40B4">
                <wp:simplePos x="0" y="0"/>
                <wp:positionH relativeFrom="column">
                  <wp:posOffset>1905</wp:posOffset>
                </wp:positionH>
                <wp:positionV relativeFrom="paragraph">
                  <wp:posOffset>444500</wp:posOffset>
                </wp:positionV>
                <wp:extent cx="5966460" cy="1074420"/>
                <wp:effectExtent l="0" t="0" r="15240" b="11430"/>
                <wp:wrapTopAndBottom/>
                <wp:docPr id="45" name="Text Box 45"/>
                <wp:cNvGraphicFramePr/>
                <a:graphic xmlns:a="http://schemas.openxmlformats.org/drawingml/2006/main">
                  <a:graphicData uri="http://schemas.microsoft.com/office/word/2010/wordprocessingShape">
                    <wps:wsp>
                      <wps:cNvSpPr txBox="1"/>
                      <wps:spPr>
                        <a:xfrm>
                          <a:off x="0" y="0"/>
                          <a:ext cx="5966460" cy="1074420"/>
                        </a:xfrm>
                        <a:prstGeom prst="rect">
                          <a:avLst/>
                        </a:prstGeom>
                        <a:solidFill>
                          <a:sysClr val="window" lastClr="FFFFFF"/>
                        </a:solidFill>
                        <a:ln w="6350">
                          <a:solidFill>
                            <a:prstClr val="black"/>
                          </a:solidFill>
                        </a:ln>
                      </wps:spPr>
                      <wps:txbx>
                        <w:txbxContent>
                          <w:p w14:paraId="60E9E94A" w14:textId="25F6EF94" w:rsidR="00CB1EF8" w:rsidRPr="003817E5" w:rsidRDefault="00CB1EF8" w:rsidP="00B320FE">
                            <w:pPr>
                              <w:spacing w:after="0" w:line="276" w:lineRule="auto"/>
                              <w:jc w:val="both"/>
                              <w:rPr>
                                <w:rFonts w:ascii="Times New Roman" w:hAnsi="Times New Roman" w:cs="Times New Roman"/>
                                <w:i/>
                                <w:sz w:val="24"/>
                                <w:szCs w:val="24"/>
                                <w:lang w:val="ro-RO"/>
                              </w:rPr>
                            </w:pPr>
                            <w:r w:rsidRPr="003817E5">
                              <w:rPr>
                                <w:rFonts w:ascii="Times New Roman" w:hAnsi="Times New Roman" w:cs="Times New Roman"/>
                                <w:i/>
                                <w:sz w:val="24"/>
                                <w:szCs w:val="24"/>
                                <w:lang w:val="ro-RO"/>
                              </w:rPr>
                              <w:t>Entitățile auditate nu au asigurat implementarea unor activități de control corespunzătoare, menite să prevină sau să descurajeze apariția unor acte nedorite în procesul</w:t>
                            </w:r>
                            <w:r>
                              <w:rPr>
                                <w:rFonts w:ascii="Times New Roman" w:hAnsi="Times New Roman" w:cs="Times New Roman"/>
                                <w:i/>
                                <w:sz w:val="24"/>
                                <w:szCs w:val="24"/>
                                <w:lang w:val="ro-RO"/>
                              </w:rPr>
                              <w:t xml:space="preserve"> de</w:t>
                            </w:r>
                            <w:r w:rsidRPr="003817E5">
                              <w:rPr>
                                <w:rFonts w:ascii="Times New Roman" w:hAnsi="Times New Roman" w:cs="Times New Roman"/>
                                <w:i/>
                                <w:sz w:val="24"/>
                                <w:szCs w:val="24"/>
                                <w:lang w:val="ro-RO"/>
                              </w:rPr>
                              <w:t xml:space="preserve"> realizare a obiectivelor setate. </w:t>
                            </w:r>
                            <w:r>
                              <w:rPr>
                                <w:rFonts w:ascii="Times New Roman" w:hAnsi="Times New Roman" w:cs="Times New Roman"/>
                                <w:i/>
                                <w:sz w:val="24"/>
                                <w:szCs w:val="24"/>
                                <w:lang w:val="ro-MD"/>
                              </w:rPr>
                              <w:t>Ca</w:t>
                            </w:r>
                            <w:r w:rsidRPr="003817E5">
                              <w:rPr>
                                <w:rFonts w:ascii="Times New Roman" w:hAnsi="Times New Roman" w:cs="Times New Roman"/>
                                <w:i/>
                                <w:sz w:val="24"/>
                                <w:szCs w:val="24"/>
                                <w:lang w:val="ro-MD"/>
                              </w:rPr>
                              <w:t xml:space="preserve"> rezultat, obiectivele </w:t>
                            </w:r>
                            <w:r>
                              <w:rPr>
                                <w:rFonts w:ascii="Times New Roman" w:hAnsi="Times New Roman" w:cs="Times New Roman"/>
                                <w:i/>
                                <w:sz w:val="24"/>
                                <w:szCs w:val="24"/>
                                <w:lang w:val="ro-MD"/>
                              </w:rPr>
                              <w:t>stabilite</w:t>
                            </w:r>
                            <w:r w:rsidRPr="003817E5">
                              <w:rPr>
                                <w:rFonts w:ascii="Times New Roman" w:hAnsi="Times New Roman" w:cs="Times New Roman"/>
                                <w:i/>
                                <w:sz w:val="24"/>
                                <w:szCs w:val="24"/>
                                <w:lang w:val="ro-MD"/>
                              </w:rPr>
                              <w:t xml:space="preserve"> </w:t>
                            </w:r>
                            <w:r>
                              <w:rPr>
                                <w:rFonts w:ascii="Times New Roman" w:hAnsi="Times New Roman" w:cs="Times New Roman"/>
                                <w:i/>
                                <w:sz w:val="24"/>
                                <w:szCs w:val="24"/>
                                <w:lang w:val="ro-MD"/>
                              </w:rPr>
                              <w:t>pentru anii de gestiune 2022-2023</w:t>
                            </w:r>
                            <w:r w:rsidRPr="003817E5">
                              <w:rPr>
                                <w:rFonts w:ascii="Times New Roman" w:hAnsi="Times New Roman" w:cs="Times New Roman"/>
                                <w:i/>
                                <w:sz w:val="24"/>
                                <w:szCs w:val="24"/>
                                <w:lang w:val="ro-MD"/>
                              </w:rPr>
                              <w:t xml:space="preserve"> nu au fost realizate </w:t>
                            </w:r>
                            <w:r>
                              <w:rPr>
                                <w:rFonts w:ascii="Times New Roman" w:hAnsi="Times New Roman" w:cs="Times New Roman"/>
                                <w:i/>
                                <w:sz w:val="24"/>
                                <w:szCs w:val="24"/>
                                <w:lang w:val="ro-MD"/>
                              </w:rPr>
                              <w:t>conform modului prestabilit</w:t>
                            </w:r>
                            <w:r w:rsidRPr="003817E5">
                              <w:rPr>
                                <w:rFonts w:ascii="Times New Roman" w:hAnsi="Times New Roman" w:cs="Times New Roman"/>
                                <w:i/>
                                <w:sz w:val="24"/>
                                <w:szCs w:val="24"/>
                                <w:lang w:val="ro-MD"/>
                              </w:rPr>
                              <w:t>, fapt ce a influențat negativ atât managementul resurselor alocate</w:t>
                            </w:r>
                            <w:r>
                              <w:rPr>
                                <w:rFonts w:ascii="Times New Roman" w:hAnsi="Times New Roman" w:cs="Times New Roman"/>
                                <w:i/>
                                <w:sz w:val="24"/>
                                <w:szCs w:val="24"/>
                                <w:lang w:val="ro-MD"/>
                              </w:rPr>
                              <w:t>,</w:t>
                            </w:r>
                            <w:r w:rsidRPr="003817E5">
                              <w:rPr>
                                <w:rFonts w:ascii="Times New Roman" w:hAnsi="Times New Roman" w:cs="Times New Roman"/>
                                <w:i/>
                                <w:sz w:val="24"/>
                                <w:szCs w:val="24"/>
                                <w:lang w:val="ro-MD"/>
                              </w:rPr>
                              <w:t xml:space="preserve"> cât și impactul rezultatelor obținute asupra domeniilor de competență ale UIPFAE.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0FB1D" id="Text Box 45" o:spid="_x0000_s1027" type="#_x0000_t202" style="position:absolute;left:0;text-align:left;margin-left:.15pt;margin-top:35pt;width:469.8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69WQIAALwEAAAOAAAAZHJzL2Uyb0RvYy54bWysVE1v2zAMvQ/YfxB0X510TroGcYosRYYB&#10;RVsgGXpWZLkxJouapMTOfv2elI+m7U7DclAoknokH0mPb7pGs61yviZT8P5FjzNlJJW1eS74j+X8&#10;0xfOfBCmFJqMKvhOeX4z+fhh3NqRuqQ16VI5BhDjR60t+DoEO8oyL9eqEf6CrDIwVuQaEXB1z1np&#10;RAv0RmeXvd4wa8mV1pFU3kN7uzfyScKvKiXDQ1V5FZguOHIL6XTpXMUzm4zF6NkJu67lIQ3xD1k0&#10;ojYIeoK6FUGwjavfQTW1dOSpCheSmoyqqpYq1YBq+r031SzWwqpUC8jx9kST/3+w8n776FhdFjwf&#10;cGZEgx4tVRfYV+oYVOCntX4Et4WFY+igR5+Peg9lLLurXBP/URCDHUzvTuxGNAnl4Ho4zIcwSdj6&#10;vas8v0z8Zy/PrfPhm6KGRaHgDu1LrIrtnQ9IBa5HlxjNk67Lea11uuz8TDu2Feg0BqSkljMtfICy&#10;4PP0i1kD4tUzbVhb8OHnQS9FemWLsU6YKy3kz/cIwNMGsJGlPRtRCt2qS6yemFpRuQOBjvYj6K2c&#10;14C/Q4aPwmHmQAz2KDzgqDQhJzpInK3J/f6bPvpjFGDlrMUMF9z/2ginUPh3gyG57ud5HPp0yQdX&#10;4Ju5c8vq3GI2zYxAXh8ba2USo3/QR7Fy1Dxh3aYxKkzCSMQueDiKs7DfLKyrVNNpcsKYWxHuzMLK&#10;CB07FWlddk/C2UOfA0bkno7TLkZv2r33jS8NTTeBqjrNQuR5z+qBfqxI6u9hneMOnt+T18tHZ/IH&#10;AAD//wMAUEsDBBQABgAIAAAAIQBlKoN82wAAAAcBAAAPAAAAZHJzL2Rvd25yZXYueG1sTI/BTsMw&#10;EETvSPyDtUjcqEMiQRPiVAiJI0KEHuDm2kviNl5HsZuGfj3LCY6jGc28qTeLH8SMU3SBFNyuMhBI&#10;JlhHnYLt+/PNGkRMmqweAqGCb4ywaS4val3ZcKI3nNvUCS6hWGkFfUpjJWU0PXodV2FEYu8rTF4n&#10;llMn7aRPXO4HmWfZnfTaES/0esSnHs2hPXoFlj4CmU/3cnbUGleeX9d7Myt1fbU8PoBIuKS/MPzi&#10;Mzo0zLQLR7JRDAoKzim4z/gQu2VRliB2CvKizEE2tfzP3/wAAAD//wMAUEsBAi0AFAAGAAgAAAAh&#10;ALaDOJL+AAAA4QEAABMAAAAAAAAAAAAAAAAAAAAAAFtDb250ZW50X1R5cGVzXS54bWxQSwECLQAU&#10;AAYACAAAACEAOP0h/9YAAACUAQAACwAAAAAAAAAAAAAAAAAvAQAAX3JlbHMvLnJlbHNQSwECLQAU&#10;AAYACAAAACEAOZAOvVkCAAC8BAAADgAAAAAAAAAAAAAAAAAuAgAAZHJzL2Uyb0RvYy54bWxQSwEC&#10;LQAUAAYACAAAACEAZSqDfNsAAAAHAQAADwAAAAAAAAAAAAAAAACzBAAAZHJzL2Rvd25yZXYueG1s&#10;UEsFBgAAAAAEAAQA8wAAALsFAAAAAA==&#10;" fillcolor="window" strokeweight=".5pt">
                <v:textbox>
                  <w:txbxContent>
                    <w:p w14:paraId="60E9E94A" w14:textId="25F6EF94" w:rsidR="00CB1EF8" w:rsidRPr="003817E5" w:rsidRDefault="00CB1EF8" w:rsidP="00B320FE">
                      <w:pPr>
                        <w:spacing w:after="0" w:line="276" w:lineRule="auto"/>
                        <w:jc w:val="both"/>
                        <w:rPr>
                          <w:rFonts w:ascii="Times New Roman" w:hAnsi="Times New Roman" w:cs="Times New Roman"/>
                          <w:i/>
                          <w:sz w:val="24"/>
                          <w:szCs w:val="24"/>
                          <w:lang w:val="ro-RO"/>
                        </w:rPr>
                      </w:pPr>
                      <w:r w:rsidRPr="003817E5">
                        <w:rPr>
                          <w:rFonts w:ascii="Times New Roman" w:hAnsi="Times New Roman" w:cs="Times New Roman"/>
                          <w:i/>
                          <w:sz w:val="24"/>
                          <w:szCs w:val="24"/>
                          <w:lang w:val="ro-RO"/>
                        </w:rPr>
                        <w:t>Entitățile auditate nu au asigurat implementarea unor activități de control corespunzătoare, menite să prevină sau să descurajeze apariția unor acte nedorite în procesul</w:t>
                      </w:r>
                      <w:r>
                        <w:rPr>
                          <w:rFonts w:ascii="Times New Roman" w:hAnsi="Times New Roman" w:cs="Times New Roman"/>
                          <w:i/>
                          <w:sz w:val="24"/>
                          <w:szCs w:val="24"/>
                          <w:lang w:val="ro-RO"/>
                        </w:rPr>
                        <w:t xml:space="preserve"> de</w:t>
                      </w:r>
                      <w:r w:rsidRPr="003817E5">
                        <w:rPr>
                          <w:rFonts w:ascii="Times New Roman" w:hAnsi="Times New Roman" w:cs="Times New Roman"/>
                          <w:i/>
                          <w:sz w:val="24"/>
                          <w:szCs w:val="24"/>
                          <w:lang w:val="ro-RO"/>
                        </w:rPr>
                        <w:t xml:space="preserve"> realizare a obiectivelor setate. </w:t>
                      </w:r>
                      <w:r>
                        <w:rPr>
                          <w:rFonts w:ascii="Times New Roman" w:hAnsi="Times New Roman" w:cs="Times New Roman"/>
                          <w:i/>
                          <w:sz w:val="24"/>
                          <w:szCs w:val="24"/>
                          <w:lang w:val="ro-MD"/>
                        </w:rPr>
                        <w:t>Ca</w:t>
                      </w:r>
                      <w:r w:rsidRPr="003817E5">
                        <w:rPr>
                          <w:rFonts w:ascii="Times New Roman" w:hAnsi="Times New Roman" w:cs="Times New Roman"/>
                          <w:i/>
                          <w:sz w:val="24"/>
                          <w:szCs w:val="24"/>
                          <w:lang w:val="ro-MD"/>
                        </w:rPr>
                        <w:t xml:space="preserve"> rezultat, obiectivele </w:t>
                      </w:r>
                      <w:r>
                        <w:rPr>
                          <w:rFonts w:ascii="Times New Roman" w:hAnsi="Times New Roman" w:cs="Times New Roman"/>
                          <w:i/>
                          <w:sz w:val="24"/>
                          <w:szCs w:val="24"/>
                          <w:lang w:val="ro-MD"/>
                        </w:rPr>
                        <w:t>stabilite</w:t>
                      </w:r>
                      <w:r w:rsidRPr="003817E5">
                        <w:rPr>
                          <w:rFonts w:ascii="Times New Roman" w:hAnsi="Times New Roman" w:cs="Times New Roman"/>
                          <w:i/>
                          <w:sz w:val="24"/>
                          <w:szCs w:val="24"/>
                          <w:lang w:val="ro-MD"/>
                        </w:rPr>
                        <w:t xml:space="preserve"> </w:t>
                      </w:r>
                      <w:r>
                        <w:rPr>
                          <w:rFonts w:ascii="Times New Roman" w:hAnsi="Times New Roman" w:cs="Times New Roman"/>
                          <w:i/>
                          <w:sz w:val="24"/>
                          <w:szCs w:val="24"/>
                          <w:lang w:val="ro-MD"/>
                        </w:rPr>
                        <w:t>pentru anii de gestiune 2022-2023</w:t>
                      </w:r>
                      <w:r w:rsidRPr="003817E5">
                        <w:rPr>
                          <w:rFonts w:ascii="Times New Roman" w:hAnsi="Times New Roman" w:cs="Times New Roman"/>
                          <w:i/>
                          <w:sz w:val="24"/>
                          <w:szCs w:val="24"/>
                          <w:lang w:val="ro-MD"/>
                        </w:rPr>
                        <w:t xml:space="preserve"> nu au fost realizate </w:t>
                      </w:r>
                      <w:r>
                        <w:rPr>
                          <w:rFonts w:ascii="Times New Roman" w:hAnsi="Times New Roman" w:cs="Times New Roman"/>
                          <w:i/>
                          <w:sz w:val="24"/>
                          <w:szCs w:val="24"/>
                          <w:lang w:val="ro-MD"/>
                        </w:rPr>
                        <w:t>conform modului prestabilit</w:t>
                      </w:r>
                      <w:r w:rsidRPr="003817E5">
                        <w:rPr>
                          <w:rFonts w:ascii="Times New Roman" w:hAnsi="Times New Roman" w:cs="Times New Roman"/>
                          <w:i/>
                          <w:sz w:val="24"/>
                          <w:szCs w:val="24"/>
                          <w:lang w:val="ro-MD"/>
                        </w:rPr>
                        <w:t>, fapt ce a influențat negativ atât managementul resurselor alocate</w:t>
                      </w:r>
                      <w:r>
                        <w:rPr>
                          <w:rFonts w:ascii="Times New Roman" w:hAnsi="Times New Roman" w:cs="Times New Roman"/>
                          <w:i/>
                          <w:sz w:val="24"/>
                          <w:szCs w:val="24"/>
                          <w:lang w:val="ro-MD"/>
                        </w:rPr>
                        <w:t>,</w:t>
                      </w:r>
                      <w:r w:rsidRPr="003817E5">
                        <w:rPr>
                          <w:rFonts w:ascii="Times New Roman" w:hAnsi="Times New Roman" w:cs="Times New Roman"/>
                          <w:i/>
                          <w:sz w:val="24"/>
                          <w:szCs w:val="24"/>
                          <w:lang w:val="ro-MD"/>
                        </w:rPr>
                        <w:t xml:space="preserve"> cât și impactul rezultatelor obținute asupra domeniilor de competență ale UIPFAE.</w:t>
                      </w:r>
                    </w:p>
                  </w:txbxContent>
                </v:textbox>
                <w10:wrap type="topAndBottom"/>
              </v:shape>
            </w:pict>
          </mc:Fallback>
        </mc:AlternateContent>
      </w:r>
      <w:r w:rsidR="00F26B00" w:rsidRPr="00483DC7">
        <w:rPr>
          <w:rFonts w:ascii="Times New Roman" w:hAnsi="Times New Roman" w:cs="Times New Roman"/>
          <w:b/>
          <w:color w:val="auto"/>
          <w:sz w:val="24"/>
          <w:szCs w:val="24"/>
          <w:lang w:val="ro-MD"/>
        </w:rPr>
        <w:t>4</w:t>
      </w:r>
      <w:r w:rsidRPr="00483DC7">
        <w:rPr>
          <w:rFonts w:ascii="Times New Roman" w:hAnsi="Times New Roman" w:cs="Times New Roman"/>
          <w:b/>
          <w:color w:val="auto"/>
          <w:sz w:val="24"/>
          <w:szCs w:val="24"/>
          <w:lang w:val="ro-MD"/>
        </w:rPr>
        <w:t xml:space="preserve">.2. Obiectivele setate, la etapa de programare, pentru Unitățile de implementare a proiectelor finanțate din </w:t>
      </w:r>
      <w:r w:rsidR="006D47D1">
        <w:rPr>
          <w:rFonts w:ascii="Times New Roman" w:hAnsi="Times New Roman" w:cs="Times New Roman"/>
          <w:b/>
          <w:color w:val="auto"/>
          <w:sz w:val="24"/>
          <w:szCs w:val="24"/>
          <w:lang w:val="ro-MD"/>
        </w:rPr>
        <w:t>surse externe au fost realizate</w:t>
      </w:r>
      <w:r w:rsidRPr="00483DC7">
        <w:rPr>
          <w:rFonts w:ascii="Times New Roman" w:hAnsi="Times New Roman" w:cs="Times New Roman"/>
          <w:b/>
          <w:color w:val="auto"/>
          <w:sz w:val="24"/>
          <w:szCs w:val="24"/>
          <w:lang w:val="ro-MD"/>
        </w:rPr>
        <w:t>?</w:t>
      </w:r>
      <w:bookmarkEnd w:id="19"/>
    </w:p>
    <w:p w14:paraId="31D333F1" w14:textId="77777777" w:rsidR="00B320FE" w:rsidRPr="00483DC7" w:rsidRDefault="00B320FE" w:rsidP="00B320FE">
      <w:pPr>
        <w:spacing w:before="240"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 xml:space="preserve">4.2.1. Resursele alocate </w:t>
      </w:r>
      <w:r w:rsidR="005613BD" w:rsidRPr="00483DC7">
        <w:rPr>
          <w:rFonts w:ascii="Times New Roman" w:hAnsi="Times New Roman" w:cs="Times New Roman"/>
          <w:b/>
          <w:sz w:val="24"/>
          <w:szCs w:val="24"/>
          <w:lang w:val="ro-MD"/>
        </w:rPr>
        <w:t>u</w:t>
      </w:r>
      <w:r w:rsidRPr="00483DC7">
        <w:rPr>
          <w:rFonts w:ascii="Times New Roman" w:hAnsi="Times New Roman" w:cs="Times New Roman"/>
          <w:b/>
          <w:sz w:val="24"/>
          <w:szCs w:val="24"/>
          <w:lang w:val="ro-MD"/>
        </w:rPr>
        <w:t>nităților de implementare a proiectelor finanțate din surse externe, pentru realizarea obiectivelor trasate, au fost utilizate într-un mod econom, eficient și eficace, în concordanță cu principiile bunei guvernări?</w:t>
      </w:r>
    </w:p>
    <w:p w14:paraId="0E7C6478" w14:textId="77777777" w:rsidR="00995456" w:rsidRPr="00483DC7" w:rsidRDefault="005613BD" w:rsidP="00995456">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Managementul resurselor alocate </w:t>
      </w:r>
      <w:r w:rsidR="00150E90" w:rsidRPr="00483DC7">
        <w:rPr>
          <w:rFonts w:ascii="Times New Roman" w:hAnsi="Times New Roman" w:cs="Times New Roman"/>
          <w:sz w:val="24"/>
          <w:szCs w:val="24"/>
          <w:lang w:val="ro-MD"/>
        </w:rPr>
        <w:t xml:space="preserve">UIPFAE </w:t>
      </w:r>
      <w:r w:rsidRPr="00483DC7">
        <w:rPr>
          <w:rFonts w:ascii="Times New Roman" w:hAnsi="Times New Roman" w:cs="Times New Roman"/>
          <w:sz w:val="24"/>
          <w:szCs w:val="24"/>
          <w:lang w:val="ro-MD"/>
        </w:rPr>
        <w:t>reprezintă un proces complex</w:t>
      </w:r>
      <w:r w:rsidR="00150E90" w:rsidRPr="00483DC7">
        <w:rPr>
          <w:rFonts w:ascii="Times New Roman" w:hAnsi="Times New Roman" w:cs="Times New Roman"/>
          <w:sz w:val="24"/>
          <w:szCs w:val="24"/>
          <w:lang w:val="ro-MD"/>
        </w:rPr>
        <w:t xml:space="preserve"> de planificare, organizare, monitorizare și evaluare eficientă a resurselor umane, materiale și financiare</w:t>
      </w:r>
      <w:r w:rsidR="003B003B" w:rsidRPr="00483DC7">
        <w:rPr>
          <w:rFonts w:ascii="Times New Roman" w:hAnsi="Times New Roman" w:cs="Times New Roman"/>
          <w:sz w:val="24"/>
          <w:szCs w:val="24"/>
          <w:lang w:val="ro-MD"/>
        </w:rPr>
        <w:t>, în vederea asigurării</w:t>
      </w:r>
      <w:r w:rsidR="00150E90" w:rsidRPr="00483DC7">
        <w:rPr>
          <w:rFonts w:ascii="Times New Roman" w:hAnsi="Times New Roman" w:cs="Times New Roman"/>
          <w:sz w:val="24"/>
          <w:szCs w:val="24"/>
          <w:lang w:val="ro-MD"/>
        </w:rPr>
        <w:t xml:space="preserve"> </w:t>
      </w:r>
      <w:r w:rsidR="003B003B" w:rsidRPr="00483DC7">
        <w:rPr>
          <w:rFonts w:ascii="Times New Roman" w:hAnsi="Times New Roman" w:cs="Times New Roman"/>
          <w:sz w:val="24"/>
          <w:szCs w:val="24"/>
          <w:lang w:val="ro-MD"/>
        </w:rPr>
        <w:t>atingerii</w:t>
      </w:r>
      <w:r w:rsidR="00150E90" w:rsidRPr="00483DC7">
        <w:rPr>
          <w:rFonts w:ascii="Times New Roman" w:hAnsi="Times New Roman" w:cs="Times New Roman"/>
          <w:sz w:val="24"/>
          <w:szCs w:val="24"/>
          <w:lang w:val="ro-MD"/>
        </w:rPr>
        <w:t xml:space="preserve"> rezultatel</w:t>
      </w:r>
      <w:r w:rsidR="003B003B" w:rsidRPr="00483DC7">
        <w:rPr>
          <w:rFonts w:ascii="Times New Roman" w:hAnsi="Times New Roman" w:cs="Times New Roman"/>
          <w:sz w:val="24"/>
          <w:szCs w:val="24"/>
          <w:lang w:val="ro-MD"/>
        </w:rPr>
        <w:t>or</w:t>
      </w:r>
      <w:r w:rsidR="00150E90" w:rsidRPr="00483DC7">
        <w:rPr>
          <w:rFonts w:ascii="Times New Roman" w:hAnsi="Times New Roman" w:cs="Times New Roman"/>
          <w:sz w:val="24"/>
          <w:szCs w:val="24"/>
          <w:lang w:val="ro-MD"/>
        </w:rPr>
        <w:t xml:space="preserve"> dorite ale instituției publice. </w:t>
      </w:r>
      <w:r w:rsidR="003B003B" w:rsidRPr="00483DC7">
        <w:rPr>
          <w:rFonts w:ascii="Times New Roman" w:hAnsi="Times New Roman" w:cs="Times New Roman"/>
          <w:sz w:val="24"/>
          <w:szCs w:val="24"/>
          <w:lang w:val="ro-MD"/>
        </w:rPr>
        <w:t>Tot</w:t>
      </w:r>
      <w:r w:rsidR="00995456" w:rsidRPr="00483DC7">
        <w:rPr>
          <w:rFonts w:ascii="Times New Roman" w:hAnsi="Times New Roman" w:cs="Times New Roman"/>
          <w:sz w:val="24"/>
          <w:szCs w:val="24"/>
          <w:lang w:val="ro-MD"/>
        </w:rPr>
        <w:t>odată, cadrul normativ stabilește obligativitatea respectării principiilor bunei guvernări</w:t>
      </w:r>
      <w:r w:rsidR="00995456" w:rsidRPr="00483DC7">
        <w:rPr>
          <w:rStyle w:val="FootnoteReference"/>
          <w:rFonts w:ascii="Times New Roman" w:hAnsi="Times New Roman" w:cs="Times New Roman"/>
          <w:sz w:val="24"/>
          <w:szCs w:val="24"/>
          <w:lang w:val="ro-MD"/>
        </w:rPr>
        <w:footnoteReference w:id="51"/>
      </w:r>
      <w:r w:rsidR="00995456" w:rsidRPr="00483DC7">
        <w:rPr>
          <w:rFonts w:ascii="Times New Roman" w:hAnsi="Times New Roman" w:cs="Times New Roman"/>
          <w:sz w:val="24"/>
          <w:szCs w:val="24"/>
          <w:lang w:val="ro-MD"/>
        </w:rPr>
        <w:t xml:space="preserve"> pentru asigurarea utilizării performante a resurselor alocate.</w:t>
      </w:r>
    </w:p>
    <w:p w14:paraId="552700BF" w14:textId="43476A21" w:rsidR="00B320FE" w:rsidRPr="00483DC7" w:rsidRDefault="00B320FE" w:rsidP="00B320FE">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această ordine de idei, este de remarcat faptul că sistemul de control intern managerial, prin structura sa bine definită și prin procesele de control pe care le impune, asigură o gestionare strategică și responsabilă a resurselor alocate entității publice, prin: a) îmbunătățirea continuă a proceselor organizaționale, b) promovarea unei culturi a responsabilității și a transparenței, orientată spre menținerea conformității activității instituției cu cadrul normativ și cu reglementările interne, precum și instituirea unui mecanism integral, la nivel de instituție, prin care se gestionează sistematic riscurile ce pot afecta atingerea obiectivelor planificate și se elaborează măsuri de diminuare a probabilității și/sau</w:t>
      </w:r>
      <w:r w:rsidR="006D47D1">
        <w:rPr>
          <w:rFonts w:ascii="Times New Roman" w:hAnsi="Times New Roman" w:cs="Times New Roman"/>
          <w:sz w:val="24"/>
          <w:szCs w:val="24"/>
          <w:lang w:val="ro-MD"/>
        </w:rPr>
        <w:t xml:space="preserve"> a</w:t>
      </w:r>
      <w:r w:rsidRPr="00483DC7">
        <w:rPr>
          <w:rFonts w:ascii="Times New Roman" w:hAnsi="Times New Roman" w:cs="Times New Roman"/>
          <w:sz w:val="24"/>
          <w:szCs w:val="24"/>
          <w:lang w:val="ro-MD"/>
        </w:rPr>
        <w:t xml:space="preserve"> impactului riscurilor respective. </w:t>
      </w:r>
    </w:p>
    <w:p w14:paraId="54547F38" w14:textId="7D9223BA" w:rsidR="00B320FE" w:rsidRPr="00483DC7" w:rsidRDefault="00B320FE" w:rsidP="00B320FE">
      <w:pPr>
        <w:spacing w:line="276" w:lineRule="auto"/>
        <w:ind w:firstLine="709"/>
        <w:jc w:val="both"/>
        <w:rPr>
          <w:rFonts w:ascii="Times New Roman" w:hAnsi="Times New Roman" w:cs="Times New Roman"/>
          <w:sz w:val="24"/>
          <w:szCs w:val="24"/>
          <w:lang w:val="ro-MD"/>
        </w:rPr>
      </w:pPr>
      <w:r w:rsidRPr="00483DC7">
        <w:rPr>
          <w:rFonts w:ascii="Times New Roman" w:hAnsi="Times New Roman" w:cs="Times New Roman"/>
          <w:i/>
          <w:sz w:val="24"/>
          <w:szCs w:val="24"/>
          <w:lang w:val="ro-MD"/>
        </w:rPr>
        <w:t>Activitățile de audit desfășurate denotă că sisteme</w:t>
      </w:r>
      <w:r w:rsidR="00EA3BCB">
        <w:rPr>
          <w:rFonts w:ascii="Times New Roman" w:hAnsi="Times New Roman" w:cs="Times New Roman"/>
          <w:i/>
          <w:sz w:val="24"/>
          <w:szCs w:val="24"/>
          <w:lang w:val="ro-MD"/>
        </w:rPr>
        <w:t>le de control intern managerial</w:t>
      </w:r>
      <w:r w:rsidRPr="00483DC7">
        <w:rPr>
          <w:rFonts w:ascii="Times New Roman" w:hAnsi="Times New Roman" w:cs="Times New Roman"/>
          <w:i/>
          <w:sz w:val="24"/>
          <w:szCs w:val="24"/>
          <w:lang w:val="ro-MD"/>
        </w:rPr>
        <w:t xml:space="preserve"> implementate în cadrul UIPFAE nu asigură în măsură deplină respectarea principiilor bunei guvernări, în perioada auditată fiind admise cazuri de utilizare irațională și neperformantă a resurselor alocate. </w:t>
      </w:r>
      <w:r w:rsidRPr="00483DC7">
        <w:rPr>
          <w:rFonts w:ascii="Times New Roman" w:hAnsi="Times New Roman" w:cs="Times New Roman"/>
          <w:sz w:val="24"/>
          <w:szCs w:val="24"/>
          <w:lang w:val="ro-MD"/>
        </w:rPr>
        <w:t>În contextul celor expuse, se exemplifică următoarele:</w:t>
      </w:r>
    </w:p>
    <w:p w14:paraId="48A16D65" w14:textId="77777777" w:rsidR="004614E2" w:rsidRPr="00483DC7" w:rsidRDefault="004614E2" w:rsidP="004614E2">
      <w:pPr>
        <w:spacing w:after="0" w:line="276" w:lineRule="auto"/>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4.2.1.1. Managementul financiar al UIPFAE nu contribuie eficient la estimarea costurilor resurselor necesare pentru atingerea rezultatelor scontate, fiind generate solduri anuale de mijloace financiare neutilizate până la data încheierii anului bugetar.</w:t>
      </w:r>
    </w:p>
    <w:p w14:paraId="73EEA4AA" w14:textId="0CE69D6B" w:rsidR="004614E2" w:rsidRPr="00483DC7" w:rsidRDefault="004614E2"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Managementul financiar cuprinde ansamblu</w:t>
      </w:r>
      <w:r w:rsidR="00164A0C">
        <w:rPr>
          <w:rFonts w:ascii="Times New Roman" w:hAnsi="Times New Roman" w:cs="Times New Roman"/>
          <w:sz w:val="24"/>
          <w:szCs w:val="24"/>
          <w:lang w:val="ro-MD"/>
        </w:rPr>
        <w:t>l</w:t>
      </w:r>
      <w:r w:rsidRPr="00483DC7">
        <w:rPr>
          <w:rFonts w:ascii="Times New Roman" w:hAnsi="Times New Roman" w:cs="Times New Roman"/>
          <w:sz w:val="24"/>
          <w:szCs w:val="24"/>
          <w:lang w:val="ro-MD"/>
        </w:rPr>
        <w:t xml:space="preserve"> principiilor, metodelor, instrumentelor și obiectivelor specifice ale organizației prin care se determină, se obțin și se utilizează resursele financiare necesare organizației. Un management financiar eficient presupune: i) stabilirea unor bugete realiste și detaliate care să reflecte prioritățile organizației; ii) monitorizarea constantă și responsabilă a fluxurilor de numerar, </w:t>
      </w:r>
      <w:r w:rsidR="00164A0C">
        <w:rPr>
          <w:rFonts w:ascii="Times New Roman" w:hAnsi="Times New Roman" w:cs="Times New Roman"/>
          <w:sz w:val="24"/>
          <w:szCs w:val="24"/>
          <w:lang w:val="ro-MD"/>
        </w:rPr>
        <w:t xml:space="preserve">a </w:t>
      </w:r>
      <w:r w:rsidRPr="00483DC7">
        <w:rPr>
          <w:rFonts w:ascii="Times New Roman" w:hAnsi="Times New Roman" w:cs="Times New Roman"/>
          <w:sz w:val="24"/>
          <w:szCs w:val="24"/>
          <w:lang w:val="ro-MD"/>
        </w:rPr>
        <w:t xml:space="preserve">veniturilor și </w:t>
      </w:r>
      <w:r w:rsidR="00164A0C">
        <w:rPr>
          <w:rFonts w:ascii="Times New Roman" w:hAnsi="Times New Roman" w:cs="Times New Roman"/>
          <w:sz w:val="24"/>
          <w:szCs w:val="24"/>
          <w:lang w:val="ro-MD"/>
        </w:rPr>
        <w:t xml:space="preserve">a </w:t>
      </w:r>
      <w:r w:rsidRPr="00483DC7">
        <w:rPr>
          <w:rFonts w:ascii="Times New Roman" w:hAnsi="Times New Roman" w:cs="Times New Roman"/>
          <w:sz w:val="24"/>
          <w:szCs w:val="24"/>
          <w:lang w:val="ro-MD"/>
        </w:rPr>
        <w:t>cheltuielilor</w:t>
      </w:r>
      <w:r w:rsidR="00164A0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pentru a asigura conformitatea, plenitud</w:t>
      </w:r>
      <w:r w:rsidR="00164A0C">
        <w:rPr>
          <w:rFonts w:ascii="Times New Roman" w:hAnsi="Times New Roman" w:cs="Times New Roman"/>
          <w:sz w:val="24"/>
          <w:szCs w:val="24"/>
          <w:lang w:val="ro-MD"/>
        </w:rPr>
        <w:t>inea și veridicitatea informați</w:t>
      </w:r>
      <w:r w:rsidRPr="00483DC7">
        <w:rPr>
          <w:rFonts w:ascii="Times New Roman" w:hAnsi="Times New Roman" w:cs="Times New Roman"/>
          <w:sz w:val="24"/>
          <w:szCs w:val="24"/>
          <w:lang w:val="ro-MD"/>
        </w:rPr>
        <w:t>i</w:t>
      </w:r>
      <w:r w:rsidR="00164A0C">
        <w:rPr>
          <w:rFonts w:ascii="Times New Roman" w:hAnsi="Times New Roman" w:cs="Times New Roman"/>
          <w:sz w:val="24"/>
          <w:szCs w:val="24"/>
          <w:lang w:val="ro-MD"/>
        </w:rPr>
        <w:t>lor</w:t>
      </w:r>
      <w:r w:rsidRPr="00483DC7">
        <w:rPr>
          <w:rFonts w:ascii="Times New Roman" w:hAnsi="Times New Roman" w:cs="Times New Roman"/>
          <w:sz w:val="24"/>
          <w:szCs w:val="24"/>
          <w:lang w:val="ro-MD"/>
        </w:rPr>
        <w:t xml:space="preserve"> financiare raportate; iii) gestionarea optimă a riscurilor financiare și asigurarea stabilității economice a instituției pe termen lung.  </w:t>
      </w:r>
    </w:p>
    <w:p w14:paraId="252FF9F5" w14:textId="134AFF7C" w:rsidR="004614E2" w:rsidRPr="00483DC7" w:rsidRDefault="004614E2"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Analizând Rapoartele financiare ale UIPFAE pentru anii 20</w:t>
      </w:r>
      <w:r w:rsidR="00164A0C">
        <w:rPr>
          <w:rFonts w:ascii="Times New Roman" w:hAnsi="Times New Roman" w:cs="Times New Roman"/>
          <w:sz w:val="24"/>
          <w:szCs w:val="24"/>
          <w:lang w:val="ro-MD"/>
        </w:rPr>
        <w:t>22-2023, auditul a constatat că</w:t>
      </w:r>
      <w:r w:rsidRPr="00483DC7">
        <w:rPr>
          <w:rFonts w:ascii="Times New Roman" w:hAnsi="Times New Roman" w:cs="Times New Roman"/>
          <w:sz w:val="24"/>
          <w:szCs w:val="24"/>
          <w:lang w:val="ro-MD"/>
        </w:rPr>
        <w:t xml:space="preserve"> ambiguitățile cadrului normativ privind mandatul și forma de raportare a UIPFAE, generează riscul utilizării unor fo</w:t>
      </w:r>
      <w:r w:rsidR="00164A0C">
        <w:rPr>
          <w:rFonts w:ascii="Times New Roman" w:hAnsi="Times New Roman" w:cs="Times New Roman"/>
          <w:sz w:val="24"/>
          <w:szCs w:val="24"/>
          <w:lang w:val="ro-MD"/>
        </w:rPr>
        <w:t>rmulare de raportare financiară</w:t>
      </w:r>
      <w:r w:rsidRPr="00483DC7">
        <w:rPr>
          <w:rFonts w:ascii="Times New Roman" w:hAnsi="Times New Roman" w:cs="Times New Roman"/>
          <w:sz w:val="24"/>
          <w:szCs w:val="24"/>
          <w:lang w:val="ro-MD"/>
        </w:rPr>
        <w:t xml:space="preserve"> neconforme specificului activității instituțiilor publice, afectând încrederea părților interesate asupra plenitud</w:t>
      </w:r>
      <w:r w:rsidR="00164A0C">
        <w:rPr>
          <w:rFonts w:ascii="Times New Roman" w:hAnsi="Times New Roman" w:cs="Times New Roman"/>
          <w:sz w:val="24"/>
          <w:szCs w:val="24"/>
          <w:lang w:val="ro-MD"/>
        </w:rPr>
        <w:t>inii și veridicității informați</w:t>
      </w:r>
      <w:r w:rsidRPr="00483DC7">
        <w:rPr>
          <w:rFonts w:ascii="Times New Roman" w:hAnsi="Times New Roman" w:cs="Times New Roman"/>
          <w:sz w:val="24"/>
          <w:szCs w:val="24"/>
          <w:lang w:val="ro-MD"/>
        </w:rPr>
        <w:t>i</w:t>
      </w:r>
      <w:r w:rsidR="00164A0C">
        <w:rPr>
          <w:rFonts w:ascii="Times New Roman" w:hAnsi="Times New Roman" w:cs="Times New Roman"/>
          <w:sz w:val="24"/>
          <w:szCs w:val="24"/>
          <w:lang w:val="ro-MD"/>
        </w:rPr>
        <w:t>lor</w:t>
      </w:r>
      <w:r w:rsidRPr="00483DC7">
        <w:rPr>
          <w:rFonts w:ascii="Times New Roman" w:hAnsi="Times New Roman" w:cs="Times New Roman"/>
          <w:sz w:val="24"/>
          <w:szCs w:val="24"/>
          <w:lang w:val="ro-MD"/>
        </w:rPr>
        <w:t xml:space="preserve"> financiare raportate. Totodată, situația descrisă creează premise ca deciziile strategice aferente activității UIPFAE să fie luate în baza unor in</w:t>
      </w:r>
      <w:r w:rsidR="00B229B4" w:rsidRPr="00483DC7">
        <w:rPr>
          <w:rFonts w:ascii="Times New Roman" w:hAnsi="Times New Roman" w:cs="Times New Roman"/>
          <w:sz w:val="24"/>
          <w:szCs w:val="24"/>
          <w:lang w:val="ro-MD"/>
        </w:rPr>
        <w:t>dicatori și analize irelevante.</w:t>
      </w:r>
    </w:p>
    <w:p w14:paraId="7AAE4002" w14:textId="0C9653C6" w:rsidR="00B229B4" w:rsidRPr="00483DC7" w:rsidRDefault="00CC7054" w:rsidP="00B12AB7">
      <w:pPr>
        <w:spacing w:after="0" w:line="276" w:lineRule="auto"/>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Potrivit explicațiilor MF „</w:t>
      </w:r>
      <w:r w:rsidR="00B229B4" w:rsidRPr="00483DC7">
        <w:rPr>
          <w:rFonts w:ascii="Times New Roman" w:hAnsi="Times New Roman" w:cs="Times New Roman"/>
          <w:sz w:val="24"/>
          <w:szCs w:val="24"/>
          <w:lang w:val="ro-MD"/>
        </w:rPr>
        <w:t>Conform HG nr.887/2023 privind aprobarea Planului de acțiuni al Guvernului pentru anul 2024, în compartimentul „Disciplină în instituții și ordine în țară”, acțiune</w:t>
      </w:r>
      <w:r w:rsidR="00164A0C">
        <w:rPr>
          <w:rFonts w:ascii="Times New Roman" w:hAnsi="Times New Roman" w:cs="Times New Roman"/>
          <w:sz w:val="24"/>
          <w:szCs w:val="24"/>
          <w:lang w:val="ro-MD"/>
        </w:rPr>
        <w:t>a</w:t>
      </w:r>
      <w:r w:rsidR="00B229B4" w:rsidRPr="00483DC7">
        <w:rPr>
          <w:rFonts w:ascii="Times New Roman" w:hAnsi="Times New Roman" w:cs="Times New Roman"/>
          <w:sz w:val="24"/>
          <w:szCs w:val="24"/>
          <w:lang w:val="ro-MD"/>
        </w:rPr>
        <w:t xml:space="preserve"> nr.539 „Adoptarea hotărârii Guvernului cu privire la reglementarea statutului de autogestiune financiară de către instituțiile publice” este pusă în sarcina Cancelariei de Stat. Ministerul Finanțelor a acordat suportul metodologic necesar și a participat la avizarea proiectului de act normativ ce reglementează organizarea și funcționarea instituțiilor publice la autogestiune (avizul MF nr.06/4-03/16/1134 din 18.07.2024)</w:t>
      </w:r>
      <w:r w:rsidR="00B12AB7" w:rsidRPr="00483DC7">
        <w:rPr>
          <w:rFonts w:ascii="Times New Roman" w:hAnsi="Times New Roman" w:cs="Times New Roman"/>
          <w:sz w:val="24"/>
          <w:szCs w:val="24"/>
          <w:lang w:val="ro-MD"/>
        </w:rPr>
        <w:t xml:space="preserve">. </w:t>
      </w:r>
      <w:r w:rsidR="00B229B4" w:rsidRPr="00483DC7">
        <w:rPr>
          <w:rFonts w:ascii="Times New Roman" w:hAnsi="Times New Roman" w:cs="Times New Roman"/>
          <w:sz w:val="24"/>
          <w:szCs w:val="24"/>
          <w:lang w:val="ro-MD"/>
        </w:rPr>
        <w:t>Totodată, Ministerul Finanțelor a setat în Planul de acțiuni a</w:t>
      </w:r>
      <w:r w:rsidR="00592FCA">
        <w:rPr>
          <w:rFonts w:ascii="Times New Roman" w:hAnsi="Times New Roman" w:cs="Times New Roman"/>
          <w:sz w:val="24"/>
          <w:szCs w:val="24"/>
          <w:lang w:val="ro-MD"/>
        </w:rPr>
        <w:t>l</w:t>
      </w:r>
      <w:r w:rsidR="00B229B4" w:rsidRPr="00483DC7">
        <w:rPr>
          <w:rFonts w:ascii="Times New Roman" w:hAnsi="Times New Roman" w:cs="Times New Roman"/>
          <w:sz w:val="24"/>
          <w:szCs w:val="24"/>
          <w:lang w:val="ro-MD"/>
        </w:rPr>
        <w:t xml:space="preserve"> ministerului pentru anul 2024 următoarele acțiuni: - </w:t>
      </w:r>
      <w:r w:rsidR="00164A0C">
        <w:rPr>
          <w:rFonts w:ascii="Times New Roman" w:hAnsi="Times New Roman" w:cs="Times New Roman"/>
          <w:sz w:val="24"/>
          <w:szCs w:val="24"/>
          <w:lang w:val="ro-MD"/>
        </w:rPr>
        <w:t>a</w:t>
      </w:r>
      <w:r w:rsidR="00B229B4" w:rsidRPr="00483DC7">
        <w:rPr>
          <w:rFonts w:ascii="Times New Roman" w:hAnsi="Times New Roman" w:cs="Times New Roman"/>
          <w:sz w:val="24"/>
          <w:szCs w:val="24"/>
          <w:lang w:val="ro-MD"/>
        </w:rPr>
        <w:t xml:space="preserve">justarea, procedurilor de management financiar bugetar conform conceptului de „autogestiune” aprobat; - </w:t>
      </w:r>
      <w:r w:rsidR="00164A0C">
        <w:rPr>
          <w:rFonts w:ascii="Times New Roman" w:hAnsi="Times New Roman" w:cs="Times New Roman"/>
          <w:sz w:val="24"/>
          <w:szCs w:val="24"/>
          <w:lang w:val="ro-MD"/>
        </w:rPr>
        <w:t>g</w:t>
      </w:r>
      <w:r w:rsidR="00B229B4" w:rsidRPr="00483DC7">
        <w:rPr>
          <w:rFonts w:ascii="Times New Roman" w:hAnsi="Times New Roman" w:cs="Times New Roman"/>
          <w:sz w:val="24"/>
          <w:szCs w:val="24"/>
          <w:lang w:val="ro-MD"/>
        </w:rPr>
        <w:t xml:space="preserve">estionarea, prin Contul unic trezorerial, a resurselor bugetare primite de către instituțiile publice la autogestiune, întreprinderile de stat, întreprinderile </w:t>
      </w:r>
      <w:r w:rsidR="00B12AB7" w:rsidRPr="00483DC7">
        <w:rPr>
          <w:rFonts w:ascii="Times New Roman" w:hAnsi="Times New Roman" w:cs="Times New Roman"/>
          <w:sz w:val="24"/>
          <w:szCs w:val="24"/>
          <w:lang w:val="ro-MD"/>
        </w:rPr>
        <w:t xml:space="preserve">municipale, societățile pe acțiuni și alte instituții publice ale căror fondatori sunt autoritățile. Acțiunile setate în Planul de acțiuni al Ministerului Finanțelor vor fi realizate ulterior aprobării de către Guvern a </w:t>
      </w:r>
      <w:r>
        <w:rPr>
          <w:rFonts w:ascii="Times New Roman" w:hAnsi="Times New Roman" w:cs="Times New Roman"/>
          <w:sz w:val="24"/>
          <w:szCs w:val="24"/>
          <w:lang w:val="ro-MD"/>
        </w:rPr>
        <w:t>actelor</w:t>
      </w:r>
      <w:r w:rsidR="00B12AB7" w:rsidRPr="00483DC7">
        <w:rPr>
          <w:rFonts w:ascii="Times New Roman" w:hAnsi="Times New Roman" w:cs="Times New Roman"/>
          <w:sz w:val="24"/>
          <w:szCs w:val="24"/>
          <w:lang w:val="ro-MD"/>
        </w:rPr>
        <w:t xml:space="preserve"> menționate</w:t>
      </w:r>
      <w:r>
        <w:rPr>
          <w:rFonts w:ascii="Times New Roman" w:hAnsi="Times New Roman" w:cs="Times New Roman"/>
          <w:sz w:val="24"/>
          <w:szCs w:val="24"/>
          <w:lang w:val="ro-MD"/>
        </w:rPr>
        <w:t>”</w:t>
      </w:r>
      <w:r w:rsidR="00B12AB7" w:rsidRPr="00483DC7">
        <w:rPr>
          <w:rFonts w:ascii="Times New Roman" w:hAnsi="Times New Roman" w:cs="Times New Roman"/>
          <w:sz w:val="24"/>
          <w:szCs w:val="24"/>
          <w:lang w:val="ro-MD"/>
        </w:rPr>
        <w:t xml:space="preserve">. </w:t>
      </w:r>
    </w:p>
    <w:p w14:paraId="3C94EA92" w14:textId="06C1F81B" w:rsidR="004614E2" w:rsidRPr="00483DC7" w:rsidRDefault="004614E2"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această ordine de idei, auditul denotă că anual </w:t>
      </w:r>
      <w:r w:rsidR="008A1B1C">
        <w:rPr>
          <w:rFonts w:ascii="Times New Roman" w:hAnsi="Times New Roman" w:cs="Times New Roman"/>
          <w:sz w:val="24"/>
          <w:szCs w:val="24"/>
          <w:lang w:val="ro-MD"/>
        </w:rPr>
        <w:t>cheltuielile de casă aferente finanțării primite de către UIPFAE sunt supuse auditului financiar</w:t>
      </w:r>
      <w:r w:rsidRPr="00483DC7">
        <w:rPr>
          <w:rFonts w:ascii="Times New Roman" w:hAnsi="Times New Roman" w:cs="Times New Roman"/>
          <w:sz w:val="24"/>
          <w:szCs w:val="24"/>
          <w:lang w:val="ro-MD"/>
        </w:rPr>
        <w:t>, desfășurat de către companiile private de audit cu scopul evaluării și confirmării plenitudinii și veridicității informații</w:t>
      </w:r>
      <w:r w:rsidR="00164A0C">
        <w:rPr>
          <w:rFonts w:ascii="Times New Roman" w:hAnsi="Times New Roman" w:cs="Times New Roman"/>
          <w:sz w:val="24"/>
          <w:szCs w:val="24"/>
          <w:lang w:val="ro-MD"/>
        </w:rPr>
        <w:t>lor</w:t>
      </w:r>
      <w:r w:rsidRPr="00483DC7">
        <w:rPr>
          <w:rFonts w:ascii="Times New Roman" w:hAnsi="Times New Roman" w:cs="Times New Roman"/>
          <w:sz w:val="24"/>
          <w:szCs w:val="24"/>
          <w:lang w:val="ro-MD"/>
        </w:rPr>
        <w:t xml:space="preserve"> financiare aferente valorificării împrumuturilor și granturilor externe. Această activitate de </w:t>
      </w:r>
      <w:r w:rsidR="000F0BB7" w:rsidRPr="00483DC7">
        <w:rPr>
          <w:rFonts w:ascii="Times New Roman" w:hAnsi="Times New Roman" w:cs="Times New Roman"/>
          <w:sz w:val="24"/>
          <w:szCs w:val="24"/>
          <w:lang w:val="ro-MD"/>
        </w:rPr>
        <w:t>audit</w:t>
      </w:r>
      <w:r w:rsidRPr="00483DC7">
        <w:rPr>
          <w:rFonts w:ascii="Times New Roman" w:hAnsi="Times New Roman" w:cs="Times New Roman"/>
          <w:sz w:val="24"/>
          <w:szCs w:val="24"/>
          <w:lang w:val="ro-MD"/>
        </w:rPr>
        <w:t>, impusă de către partenerii de dezvoltare a</w:t>
      </w:r>
      <w:r w:rsidR="00164A0C">
        <w:rPr>
          <w:rFonts w:ascii="Times New Roman" w:hAnsi="Times New Roman" w:cs="Times New Roman"/>
          <w:sz w:val="24"/>
          <w:szCs w:val="24"/>
          <w:lang w:val="ro-MD"/>
        </w:rPr>
        <w:t>i</w:t>
      </w:r>
      <w:r w:rsidRPr="00483DC7">
        <w:rPr>
          <w:rFonts w:ascii="Times New Roman" w:hAnsi="Times New Roman" w:cs="Times New Roman"/>
          <w:sz w:val="24"/>
          <w:szCs w:val="24"/>
          <w:lang w:val="ro-MD"/>
        </w:rPr>
        <w:t xml:space="preserve"> Republicii Moldova în Acordurile de finanțare, nu acoperă însă</w:t>
      </w:r>
      <w:r w:rsidR="00143918" w:rsidRPr="00483DC7">
        <w:rPr>
          <w:rFonts w:ascii="Times New Roman" w:hAnsi="Times New Roman" w:cs="Times New Roman"/>
          <w:sz w:val="24"/>
          <w:szCs w:val="24"/>
          <w:lang w:val="ro-MD"/>
        </w:rPr>
        <w:t>, în majoritatea cazurilor,</w:t>
      </w:r>
      <w:r w:rsidRPr="00483DC7">
        <w:rPr>
          <w:rFonts w:ascii="Times New Roman" w:hAnsi="Times New Roman" w:cs="Times New Roman"/>
          <w:sz w:val="24"/>
          <w:szCs w:val="24"/>
          <w:lang w:val="ro-MD"/>
        </w:rPr>
        <w:t xml:space="preserve"> verificarea situațiilor financiare</w:t>
      </w:r>
      <w:r w:rsidR="00324767">
        <w:rPr>
          <w:rFonts w:ascii="Times New Roman" w:hAnsi="Times New Roman" w:cs="Times New Roman"/>
          <w:sz w:val="24"/>
          <w:szCs w:val="24"/>
          <w:lang w:val="ro-MD"/>
        </w:rPr>
        <w:t xml:space="preserve"> aferente utilizării mijloacelor</w:t>
      </w:r>
      <w:r w:rsidRPr="00483DC7">
        <w:rPr>
          <w:rFonts w:ascii="Times New Roman" w:hAnsi="Times New Roman" w:cs="Times New Roman"/>
          <w:sz w:val="24"/>
          <w:szCs w:val="24"/>
          <w:lang w:val="ro-MD"/>
        </w:rPr>
        <w:t xml:space="preserve"> finanțate din bugetul de stat, limitând părțile implicate într-o asigurare credibilă și obiectivă că toate resursele UIPFAE, inclusiv cele din bugetul de stat, sunt utilizate eficient și raportate corect</w:t>
      </w:r>
      <w:r w:rsidR="004A0403" w:rsidRPr="00483DC7">
        <w:rPr>
          <w:rFonts w:ascii="Times New Roman" w:hAnsi="Times New Roman" w:cs="Times New Roman"/>
          <w:sz w:val="24"/>
          <w:szCs w:val="24"/>
          <w:lang w:val="ro-MD"/>
        </w:rPr>
        <w:t>.</w:t>
      </w:r>
    </w:p>
    <w:p w14:paraId="2F537385" w14:textId="0D974DDB" w:rsidR="00143918" w:rsidRPr="00483DC7" w:rsidRDefault="00143918"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Este de menționat faptul că, în cazul UCIP IFAD, contribuția Guvernului este</w:t>
      </w:r>
      <w:r w:rsidR="00D14A1B" w:rsidRPr="00483DC7">
        <w:rPr>
          <w:rFonts w:ascii="Times New Roman" w:hAnsi="Times New Roman" w:cs="Times New Roman"/>
          <w:sz w:val="24"/>
          <w:szCs w:val="24"/>
          <w:lang w:val="ro-MD"/>
        </w:rPr>
        <w:t xml:space="preserve"> repartizată ca</w:t>
      </w:r>
      <w:r w:rsidRPr="00483DC7">
        <w:rPr>
          <w:rFonts w:ascii="Times New Roman" w:hAnsi="Times New Roman" w:cs="Times New Roman"/>
          <w:sz w:val="24"/>
          <w:szCs w:val="24"/>
          <w:lang w:val="ro-MD"/>
        </w:rPr>
        <w:t xml:space="preserve"> parte a fiecărui program. Astfel, resursele alocate din bugetul de stat</w:t>
      </w:r>
      <w:r w:rsidR="00D14A1B"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fiind consolidate în bugetul programului respectiv, sunt supuse auditării anuale, </w:t>
      </w:r>
      <w:r w:rsidR="00164A0C">
        <w:rPr>
          <w:rFonts w:ascii="Times New Roman" w:hAnsi="Times New Roman" w:cs="Times New Roman"/>
          <w:sz w:val="24"/>
          <w:szCs w:val="24"/>
          <w:lang w:val="ro-MD"/>
        </w:rPr>
        <w:t>de către companii</w:t>
      </w:r>
      <w:r w:rsidRPr="00483DC7">
        <w:rPr>
          <w:rFonts w:ascii="Times New Roman" w:hAnsi="Times New Roman" w:cs="Times New Roman"/>
          <w:sz w:val="24"/>
          <w:szCs w:val="24"/>
          <w:lang w:val="ro-MD"/>
        </w:rPr>
        <w:t xml:space="preserve"> private, în vederea evaluării plenitudinii și veridicității situațiilor financiare aferente programelor IFAD. </w:t>
      </w:r>
    </w:p>
    <w:p w14:paraId="37F7B037" w14:textId="532D791A" w:rsidR="004614E2" w:rsidRPr="00483DC7" w:rsidRDefault="004614E2"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Importanța fortificării activităților de control </w:t>
      </w:r>
      <w:r w:rsidR="00143918" w:rsidRPr="00483DC7">
        <w:rPr>
          <w:rFonts w:ascii="Times New Roman" w:hAnsi="Times New Roman" w:cs="Times New Roman"/>
          <w:sz w:val="24"/>
          <w:szCs w:val="24"/>
          <w:lang w:val="ro-MD"/>
        </w:rPr>
        <w:t>al</w:t>
      </w:r>
      <w:r w:rsidR="00164A0C">
        <w:rPr>
          <w:rFonts w:ascii="Times New Roman" w:hAnsi="Times New Roman" w:cs="Times New Roman"/>
          <w:sz w:val="24"/>
          <w:szCs w:val="24"/>
          <w:lang w:val="ro-MD"/>
        </w:rPr>
        <w:t>e</w:t>
      </w:r>
      <w:r w:rsidR="00143918" w:rsidRPr="00483DC7">
        <w:rPr>
          <w:rFonts w:ascii="Times New Roman" w:hAnsi="Times New Roman" w:cs="Times New Roman"/>
          <w:sz w:val="24"/>
          <w:szCs w:val="24"/>
          <w:lang w:val="ro-MD"/>
        </w:rPr>
        <w:t xml:space="preserve"> managementului financiar</w:t>
      </w:r>
      <w:r w:rsidRPr="00483DC7">
        <w:rPr>
          <w:rFonts w:ascii="Times New Roman" w:hAnsi="Times New Roman" w:cs="Times New Roman"/>
          <w:sz w:val="24"/>
          <w:szCs w:val="24"/>
          <w:lang w:val="ro-MD"/>
        </w:rPr>
        <w:t xml:space="preserve"> </w:t>
      </w:r>
      <w:r w:rsidR="00143918" w:rsidRPr="00483DC7">
        <w:rPr>
          <w:rFonts w:ascii="Times New Roman" w:hAnsi="Times New Roman" w:cs="Times New Roman"/>
          <w:sz w:val="24"/>
          <w:szCs w:val="24"/>
          <w:lang w:val="ro-MD"/>
        </w:rPr>
        <w:t xml:space="preserve">al UIPFAE </w:t>
      </w:r>
      <w:r w:rsidRPr="00483DC7">
        <w:rPr>
          <w:rFonts w:ascii="Times New Roman" w:hAnsi="Times New Roman" w:cs="Times New Roman"/>
          <w:sz w:val="24"/>
          <w:szCs w:val="24"/>
          <w:lang w:val="ro-MD"/>
        </w:rPr>
        <w:t xml:space="preserve">este condiționată inclusiv de faptul că actele </w:t>
      </w:r>
      <w:r w:rsidR="00592FCA">
        <w:rPr>
          <w:rFonts w:ascii="Times New Roman" w:hAnsi="Times New Roman" w:cs="Times New Roman"/>
          <w:sz w:val="24"/>
          <w:szCs w:val="24"/>
          <w:lang w:val="ro-MD"/>
        </w:rPr>
        <w:t>normative</w:t>
      </w:r>
      <w:r w:rsidRPr="00483DC7">
        <w:rPr>
          <w:rFonts w:ascii="Times New Roman" w:hAnsi="Times New Roman" w:cs="Times New Roman"/>
          <w:sz w:val="24"/>
          <w:szCs w:val="24"/>
          <w:lang w:val="ro-MD"/>
        </w:rPr>
        <w:t xml:space="preserve"> naționale</w:t>
      </w:r>
      <w:r w:rsidR="00E07F98" w:rsidRPr="00483DC7">
        <w:rPr>
          <w:rStyle w:val="FootnoteReference"/>
          <w:rFonts w:ascii="Times New Roman" w:hAnsi="Times New Roman" w:cs="Times New Roman"/>
          <w:sz w:val="24"/>
          <w:szCs w:val="24"/>
          <w:shd w:val="clear" w:color="auto" w:fill="FFFFFF" w:themeFill="background1"/>
          <w:lang w:val="ro-MD"/>
        </w:rPr>
        <w:footnoteReference w:id="52"/>
      </w:r>
      <w:r w:rsidRPr="00483DC7">
        <w:rPr>
          <w:rFonts w:ascii="Times New Roman" w:hAnsi="Times New Roman" w:cs="Times New Roman"/>
          <w:sz w:val="24"/>
          <w:szCs w:val="24"/>
          <w:lang w:val="ro-MD"/>
        </w:rPr>
        <w:t xml:space="preserve"> impun autorităților contractante de bunuri, lucrări și servicii, măsuri restrictive mult mai riguroase decât prevederile cadrului regulator al partenerilor externi de dezvoltare, iar </w:t>
      </w:r>
      <w:r w:rsidR="00ED7668" w:rsidRPr="00483DC7">
        <w:rPr>
          <w:rFonts w:ascii="Times New Roman" w:hAnsi="Times New Roman" w:cs="Times New Roman"/>
          <w:sz w:val="24"/>
          <w:szCs w:val="24"/>
          <w:lang w:val="ro-MD"/>
        </w:rPr>
        <w:t xml:space="preserve">posibilitatea discreționară de aplicare </w:t>
      </w:r>
      <w:r w:rsidR="00592FCA">
        <w:rPr>
          <w:rFonts w:ascii="Times New Roman" w:hAnsi="Times New Roman" w:cs="Times New Roman"/>
          <w:sz w:val="24"/>
          <w:szCs w:val="24"/>
          <w:lang w:val="ro-MD"/>
        </w:rPr>
        <w:t>a</w:t>
      </w:r>
      <w:r w:rsidRPr="00483DC7">
        <w:rPr>
          <w:rFonts w:ascii="Times New Roman" w:hAnsi="Times New Roman" w:cs="Times New Roman"/>
          <w:sz w:val="24"/>
          <w:szCs w:val="24"/>
          <w:lang w:val="ro-MD"/>
        </w:rPr>
        <w:t xml:space="preserve"> art.8 alin.(2) din Legea nr.131/2015</w:t>
      </w:r>
      <w:r w:rsidRPr="00483DC7">
        <w:rPr>
          <w:rStyle w:val="FootnoteReference"/>
          <w:rFonts w:ascii="Times New Roman" w:hAnsi="Times New Roman" w:cs="Times New Roman"/>
          <w:sz w:val="24"/>
          <w:szCs w:val="24"/>
          <w:lang w:val="ro-MD"/>
        </w:rPr>
        <w:footnoteReference w:id="53"/>
      </w:r>
      <w:r w:rsidRPr="00483DC7">
        <w:rPr>
          <w:rFonts w:ascii="Times New Roman" w:hAnsi="Times New Roman" w:cs="Times New Roman"/>
          <w:sz w:val="24"/>
          <w:szCs w:val="24"/>
          <w:lang w:val="ro-MD"/>
        </w:rPr>
        <w:t xml:space="preserve"> facilitează</w:t>
      </w:r>
      <w:r w:rsidR="00164A0C">
        <w:rPr>
          <w:rFonts w:ascii="Times New Roman" w:hAnsi="Times New Roman" w:cs="Times New Roman"/>
          <w:sz w:val="24"/>
          <w:szCs w:val="24"/>
          <w:lang w:val="ro-MD"/>
        </w:rPr>
        <w:t>, pentru unele tipuri de procurări,</w:t>
      </w:r>
      <w:r w:rsidRPr="00483DC7">
        <w:rPr>
          <w:rFonts w:ascii="Times New Roman" w:hAnsi="Times New Roman" w:cs="Times New Roman"/>
          <w:sz w:val="24"/>
          <w:szCs w:val="24"/>
          <w:lang w:val="ro-MD"/>
        </w:rPr>
        <w:t xml:space="preserve"> utilizarea procedurilor de achiziții simplificate ale partenerilor externi.</w:t>
      </w:r>
    </w:p>
    <w:p w14:paraId="34300B44" w14:textId="77777777" w:rsidR="004614E2" w:rsidRPr="00483DC7" w:rsidRDefault="00E07F98" w:rsidP="00E07F98">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 xml:space="preserve">În această ordine de idei, auditul menționează că </w:t>
      </w:r>
      <w:r w:rsidR="004614E2" w:rsidRPr="00483DC7">
        <w:rPr>
          <w:rFonts w:ascii="Times New Roman" w:hAnsi="Times New Roman" w:cs="Times New Roman"/>
          <w:sz w:val="24"/>
          <w:szCs w:val="24"/>
          <w:shd w:val="clear" w:color="auto" w:fill="FFFFFF" w:themeFill="background1"/>
          <w:lang w:val="ro-MD"/>
        </w:rPr>
        <w:t>regulamentele privind achizițiile publice ale organizațiilor internaționale precum Organizația Națiunilor Unite, Banca Mondială, Banca Europeană pentru Reconstrucție și Dezvoltare, Banca Internațională pentru Reconstrucție și Dezvoltare, Banca de Dezvoltare a Consiliului Europei, prezintă paralele semnificative cu normele stabilite de Legea nr.131/2015, având la bază principii fundamentale asemănătoare, cum ar fi eficiența, transparența, concurența și integritatea procesului de achiziție</w:t>
      </w:r>
      <w:r w:rsidR="00173FBC" w:rsidRPr="00483DC7">
        <w:rPr>
          <w:rFonts w:ascii="Times New Roman" w:hAnsi="Times New Roman" w:cs="Times New Roman"/>
          <w:sz w:val="24"/>
          <w:szCs w:val="24"/>
          <w:shd w:val="clear" w:color="auto" w:fill="FFFFFF" w:themeFill="background1"/>
          <w:lang w:val="ro-MD"/>
        </w:rPr>
        <w:t>, unanim recunoscute prin D</w:t>
      </w:r>
      <w:r w:rsidR="00663A22" w:rsidRPr="00483DC7">
        <w:rPr>
          <w:rFonts w:ascii="Times New Roman" w:hAnsi="Times New Roman" w:cs="Times New Roman"/>
          <w:sz w:val="24"/>
          <w:szCs w:val="24"/>
          <w:shd w:val="clear" w:color="auto" w:fill="FFFFFF" w:themeFill="background1"/>
          <w:lang w:val="ro-MD"/>
        </w:rPr>
        <w:t>irectiva 2014/24/</w:t>
      </w:r>
      <w:r w:rsidR="00173FBC" w:rsidRPr="00483DC7">
        <w:rPr>
          <w:rFonts w:ascii="Times New Roman" w:hAnsi="Times New Roman" w:cs="Times New Roman"/>
          <w:sz w:val="24"/>
          <w:szCs w:val="24"/>
          <w:shd w:val="clear" w:color="auto" w:fill="FFFFFF" w:themeFill="background1"/>
          <w:lang w:val="ro-MD"/>
        </w:rPr>
        <w:t>UE</w:t>
      </w:r>
      <w:r w:rsidR="00663A22" w:rsidRPr="00483DC7">
        <w:rPr>
          <w:rFonts w:ascii="Times New Roman" w:hAnsi="Times New Roman" w:cs="Times New Roman"/>
          <w:sz w:val="24"/>
          <w:szCs w:val="24"/>
          <w:shd w:val="clear" w:color="auto" w:fill="FFFFFF" w:themeFill="background1"/>
          <w:lang w:val="ro-MD"/>
        </w:rPr>
        <w:t xml:space="preserve"> a Parlamentului European și a Consiliului privind achizițiile publice</w:t>
      </w:r>
      <w:r w:rsidR="00173FBC" w:rsidRPr="00483DC7">
        <w:rPr>
          <w:rStyle w:val="FootnoteReference"/>
          <w:rFonts w:ascii="Times New Roman" w:hAnsi="Times New Roman" w:cs="Times New Roman"/>
          <w:sz w:val="24"/>
          <w:szCs w:val="24"/>
          <w:shd w:val="clear" w:color="auto" w:fill="FFFFFF" w:themeFill="background1"/>
          <w:lang w:val="ro-MD"/>
        </w:rPr>
        <w:footnoteReference w:id="54"/>
      </w:r>
      <w:r w:rsidR="00663A22" w:rsidRPr="00483DC7">
        <w:rPr>
          <w:rFonts w:ascii="Times New Roman" w:hAnsi="Times New Roman" w:cs="Times New Roman"/>
          <w:sz w:val="24"/>
          <w:szCs w:val="24"/>
          <w:shd w:val="clear" w:color="auto" w:fill="FFFFFF" w:themeFill="background1"/>
          <w:lang w:val="ro-MD"/>
        </w:rPr>
        <w:t>.</w:t>
      </w:r>
    </w:p>
    <w:p w14:paraId="322D0F03" w14:textId="7766DEB4" w:rsidR="00E07F98" w:rsidRPr="00483DC7" w:rsidRDefault="00E07F98" w:rsidP="00DA2AF9">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În același timp, principalele diferențe dintre normele care guvernează procedurile de achiziție conform Acordurilor de finanțare și cele reglementate de cadrul normativ național,</w:t>
      </w:r>
      <w:r w:rsidR="00DA2AF9" w:rsidRPr="00483DC7">
        <w:rPr>
          <w:rFonts w:ascii="Times New Roman" w:hAnsi="Times New Roman" w:cs="Times New Roman"/>
          <w:sz w:val="24"/>
          <w:szCs w:val="24"/>
          <w:shd w:val="clear" w:color="auto" w:fill="FFFFFF" w:themeFill="background1"/>
          <w:lang w:val="ro-MD"/>
        </w:rPr>
        <w:t xml:space="preserve"> vizează procesul de planificare a procedurilor de achiziție și publicarea planurilor anuale de achiziție, ceea ce ar asigura respectarea principalelor principii de desfășurare a procedurilor, precum și aplicabilitatea pragurilor privind valorile estimate ale achizițiilor, de la care urmează a </w:t>
      </w:r>
      <w:r w:rsidR="00DA2AF9" w:rsidRPr="00483DC7">
        <w:rPr>
          <w:rFonts w:ascii="Times New Roman" w:hAnsi="Times New Roman" w:cs="Times New Roman"/>
          <w:sz w:val="24"/>
          <w:szCs w:val="24"/>
          <w:shd w:val="clear" w:color="auto" w:fill="FFFFFF" w:themeFill="background1"/>
          <w:lang w:val="ro-MD"/>
        </w:rPr>
        <w:lastRenderedPageBreak/>
        <w:t>fi aplicate diferite proceduri de achiziție, ca și principal instrument de asigurare a controlului atât a</w:t>
      </w:r>
      <w:r w:rsidR="00164A0C">
        <w:rPr>
          <w:rFonts w:ascii="Times New Roman" w:hAnsi="Times New Roman" w:cs="Times New Roman"/>
          <w:sz w:val="24"/>
          <w:szCs w:val="24"/>
          <w:shd w:val="clear" w:color="auto" w:fill="FFFFFF" w:themeFill="background1"/>
          <w:lang w:val="ro-MD"/>
        </w:rPr>
        <w:t>l</w:t>
      </w:r>
      <w:r w:rsidR="00DA2AF9" w:rsidRPr="00483DC7">
        <w:rPr>
          <w:rFonts w:ascii="Times New Roman" w:hAnsi="Times New Roman" w:cs="Times New Roman"/>
          <w:sz w:val="24"/>
          <w:szCs w:val="24"/>
          <w:shd w:val="clear" w:color="auto" w:fill="FFFFFF" w:themeFill="background1"/>
          <w:lang w:val="ro-MD"/>
        </w:rPr>
        <w:t xml:space="preserve"> legalității</w:t>
      </w:r>
      <w:r w:rsidR="00164A0C">
        <w:rPr>
          <w:rFonts w:ascii="Times New Roman" w:hAnsi="Times New Roman" w:cs="Times New Roman"/>
          <w:sz w:val="24"/>
          <w:szCs w:val="24"/>
          <w:shd w:val="clear" w:color="auto" w:fill="FFFFFF" w:themeFill="background1"/>
          <w:lang w:val="ro-MD"/>
        </w:rPr>
        <w:t>,</w:t>
      </w:r>
      <w:r w:rsidR="00DA2AF9" w:rsidRPr="00483DC7">
        <w:rPr>
          <w:rFonts w:ascii="Times New Roman" w:hAnsi="Times New Roman" w:cs="Times New Roman"/>
          <w:sz w:val="24"/>
          <w:szCs w:val="24"/>
          <w:shd w:val="clear" w:color="auto" w:fill="FFFFFF" w:themeFill="background1"/>
          <w:lang w:val="ro-MD"/>
        </w:rPr>
        <w:t xml:space="preserve"> cât și a</w:t>
      </w:r>
      <w:r w:rsidR="00164A0C">
        <w:rPr>
          <w:rFonts w:ascii="Times New Roman" w:hAnsi="Times New Roman" w:cs="Times New Roman"/>
          <w:sz w:val="24"/>
          <w:szCs w:val="24"/>
          <w:shd w:val="clear" w:color="auto" w:fill="FFFFFF" w:themeFill="background1"/>
          <w:lang w:val="ro-MD"/>
        </w:rPr>
        <w:t>l</w:t>
      </w:r>
      <w:r w:rsidR="00DA2AF9" w:rsidRPr="00483DC7">
        <w:rPr>
          <w:rFonts w:ascii="Times New Roman" w:hAnsi="Times New Roman" w:cs="Times New Roman"/>
          <w:sz w:val="24"/>
          <w:szCs w:val="24"/>
          <w:shd w:val="clear" w:color="auto" w:fill="FFFFFF" w:themeFill="background1"/>
          <w:lang w:val="ro-MD"/>
        </w:rPr>
        <w:t xml:space="preserve"> oportunității procedurilor desfășurate.</w:t>
      </w:r>
    </w:p>
    <w:tbl>
      <w:tblPr>
        <w:tblStyle w:val="TableGrid"/>
        <w:tblW w:w="9354" w:type="dxa"/>
        <w:tblLook w:val="04A0" w:firstRow="1" w:lastRow="0" w:firstColumn="1" w:lastColumn="0" w:noHBand="0" w:noVBand="1"/>
      </w:tblPr>
      <w:tblGrid>
        <w:gridCol w:w="5382"/>
        <w:gridCol w:w="2126"/>
        <w:gridCol w:w="1846"/>
      </w:tblGrid>
      <w:tr w:rsidR="00DA2AF9" w:rsidRPr="00483DC7" w14:paraId="52D6E21E" w14:textId="77777777" w:rsidTr="00652CB7">
        <w:trPr>
          <w:trHeight w:val="383"/>
        </w:trPr>
        <w:tc>
          <w:tcPr>
            <w:tcW w:w="9354" w:type="dxa"/>
            <w:gridSpan w:val="3"/>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05A5C1BB" w14:textId="77777777" w:rsidR="00DA2AF9" w:rsidRPr="00483DC7" w:rsidRDefault="00DA2AF9" w:rsidP="00DC47DC">
            <w:pPr>
              <w:spacing w:line="276" w:lineRule="auto"/>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Tabelul nr.5</w:t>
            </w:r>
          </w:p>
          <w:p w14:paraId="4305DC07" w14:textId="76C9E161" w:rsidR="00DA2AF9" w:rsidRPr="00483DC7" w:rsidRDefault="00DA2AF9" w:rsidP="00DC47DC">
            <w:pPr>
              <w:spacing w:line="276" w:lineRule="auto"/>
              <w:jc w:val="center"/>
              <w:rPr>
                <w:rFonts w:ascii="Times New Roman" w:hAnsi="Times New Roman" w:cs="Times New Roman"/>
                <w:i/>
                <w:sz w:val="20"/>
                <w:szCs w:val="20"/>
                <w:lang w:val="ro-MD"/>
              </w:rPr>
            </w:pPr>
            <w:r w:rsidRPr="00483DC7">
              <w:rPr>
                <w:rFonts w:ascii="Times New Roman" w:hAnsi="Times New Roman" w:cs="Times New Roman"/>
                <w:i/>
                <w:sz w:val="20"/>
                <w:szCs w:val="20"/>
                <w:lang w:val="ro-MD"/>
              </w:rPr>
              <w:t>Analiza pragurilor minime pentru</w:t>
            </w:r>
            <w:r w:rsidR="00164A0C">
              <w:rPr>
                <w:rFonts w:ascii="Times New Roman" w:hAnsi="Times New Roman" w:cs="Times New Roman"/>
                <w:i/>
                <w:sz w:val="20"/>
                <w:szCs w:val="20"/>
                <w:lang w:val="ro-MD"/>
              </w:rPr>
              <w:t xml:space="preserve"> licitațiile de bunuri, servici</w:t>
            </w:r>
            <w:r w:rsidRPr="00483DC7">
              <w:rPr>
                <w:rFonts w:ascii="Times New Roman" w:hAnsi="Times New Roman" w:cs="Times New Roman"/>
                <w:i/>
                <w:sz w:val="20"/>
                <w:szCs w:val="20"/>
                <w:lang w:val="ro-MD"/>
              </w:rPr>
              <w:t xml:space="preserve"> și lucrări prevăzute în diferite acte normative</w:t>
            </w:r>
          </w:p>
        </w:tc>
      </w:tr>
      <w:tr w:rsidR="00DA2AF9" w:rsidRPr="00483DC7" w14:paraId="4D8C2A32" w14:textId="77777777" w:rsidTr="00DC47DC">
        <w:trPr>
          <w:trHeight w:val="427"/>
        </w:trPr>
        <w:tc>
          <w:tcPr>
            <w:tcW w:w="5382" w:type="dxa"/>
            <w:shd w:val="clear" w:color="auto" w:fill="DEEAF6" w:themeFill="accent1" w:themeFillTint="33"/>
            <w:vAlign w:val="center"/>
            <w:hideMark/>
          </w:tcPr>
          <w:p w14:paraId="18AD701E" w14:textId="77777777" w:rsidR="00DA2AF9" w:rsidRPr="00483DC7" w:rsidRDefault="00DA2AF9" w:rsidP="00DC47DC">
            <w:pPr>
              <w:ind w:firstLine="567"/>
              <w:rPr>
                <w:rFonts w:ascii="Times New Roman" w:hAnsi="Times New Roman" w:cs="Times New Roman"/>
                <w:b/>
                <w:sz w:val="20"/>
                <w:szCs w:val="20"/>
                <w:lang w:val="ro-MD"/>
              </w:rPr>
            </w:pPr>
            <w:r w:rsidRPr="00483DC7">
              <w:rPr>
                <w:rFonts w:ascii="Times New Roman" w:hAnsi="Times New Roman" w:cs="Times New Roman"/>
                <w:b/>
                <w:sz w:val="20"/>
                <w:szCs w:val="20"/>
                <w:lang w:val="ro-MD"/>
              </w:rPr>
              <w:t>Actul normativ analizat</w:t>
            </w:r>
          </w:p>
        </w:tc>
        <w:tc>
          <w:tcPr>
            <w:tcW w:w="2126" w:type="dxa"/>
            <w:shd w:val="clear" w:color="auto" w:fill="DEEAF6" w:themeFill="accent1" w:themeFillTint="33"/>
            <w:vAlign w:val="center"/>
            <w:hideMark/>
          </w:tcPr>
          <w:p w14:paraId="50B2F2DC" w14:textId="77777777" w:rsidR="00DA2AF9" w:rsidRPr="00483DC7" w:rsidRDefault="00DA2AF9" w:rsidP="00DC47DC">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Pragul minim pentru licitațiile de bunuri și servicii (mii lei)</w:t>
            </w:r>
          </w:p>
        </w:tc>
        <w:tc>
          <w:tcPr>
            <w:tcW w:w="1846" w:type="dxa"/>
            <w:shd w:val="clear" w:color="auto" w:fill="DEEAF6" w:themeFill="accent1" w:themeFillTint="33"/>
            <w:vAlign w:val="center"/>
            <w:hideMark/>
          </w:tcPr>
          <w:p w14:paraId="7C1BB218" w14:textId="77777777" w:rsidR="00DA2AF9" w:rsidRPr="00483DC7" w:rsidRDefault="00DA2AF9" w:rsidP="00DC47DC">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Pragul minim pentru licitațiile de lucrări (mii lei)</w:t>
            </w:r>
          </w:p>
        </w:tc>
      </w:tr>
      <w:tr w:rsidR="00DA2AF9" w:rsidRPr="00483DC7" w14:paraId="4A3A95CE" w14:textId="77777777" w:rsidTr="005E4423">
        <w:trPr>
          <w:trHeight w:val="141"/>
        </w:trPr>
        <w:tc>
          <w:tcPr>
            <w:tcW w:w="5382" w:type="dxa"/>
            <w:vAlign w:val="center"/>
            <w:hideMark/>
          </w:tcPr>
          <w:p w14:paraId="153B9429" w14:textId="77777777" w:rsidR="00DA2AF9" w:rsidRPr="00483DC7" w:rsidRDefault="00DA2AF9" w:rsidP="00DC47DC">
            <w:pPr>
              <w:rPr>
                <w:rFonts w:ascii="Times New Roman" w:hAnsi="Times New Roman" w:cs="Times New Roman"/>
                <w:sz w:val="20"/>
                <w:szCs w:val="20"/>
                <w:lang w:val="ro-MD"/>
              </w:rPr>
            </w:pPr>
            <w:r w:rsidRPr="00483DC7">
              <w:rPr>
                <w:rFonts w:ascii="Times New Roman" w:hAnsi="Times New Roman" w:cs="Times New Roman"/>
                <w:sz w:val="20"/>
                <w:szCs w:val="20"/>
                <w:lang w:val="ro-MD"/>
              </w:rPr>
              <w:t>Legea 131/2015 privind achizițiile publice</w:t>
            </w:r>
          </w:p>
        </w:tc>
        <w:tc>
          <w:tcPr>
            <w:tcW w:w="2126" w:type="dxa"/>
            <w:vAlign w:val="center"/>
            <w:hideMark/>
          </w:tcPr>
          <w:p w14:paraId="29AFB420"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300,00</w:t>
            </w:r>
          </w:p>
        </w:tc>
        <w:tc>
          <w:tcPr>
            <w:tcW w:w="1846" w:type="dxa"/>
            <w:vAlign w:val="center"/>
            <w:hideMark/>
          </w:tcPr>
          <w:p w14:paraId="549DF130"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375,00</w:t>
            </w:r>
          </w:p>
        </w:tc>
      </w:tr>
      <w:tr w:rsidR="00DA2AF9" w:rsidRPr="00483DC7" w14:paraId="770DE875" w14:textId="77777777" w:rsidTr="00663A22">
        <w:trPr>
          <w:trHeight w:val="191"/>
        </w:trPr>
        <w:tc>
          <w:tcPr>
            <w:tcW w:w="5382" w:type="dxa"/>
            <w:vAlign w:val="center"/>
            <w:hideMark/>
          </w:tcPr>
          <w:p w14:paraId="345E2A65" w14:textId="77777777" w:rsidR="00DA2AF9" w:rsidRPr="00483DC7" w:rsidRDefault="00DA2AF9" w:rsidP="007A3B14">
            <w:pPr>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Ghidul privind achizițiile pentru </w:t>
            </w:r>
            <w:r w:rsidR="007A3B14" w:rsidRPr="00483DC7">
              <w:rPr>
                <w:rFonts w:ascii="Times New Roman" w:hAnsi="Times New Roman" w:cs="Times New Roman"/>
                <w:sz w:val="20"/>
                <w:szCs w:val="20"/>
                <w:lang w:val="ro-MD"/>
              </w:rPr>
              <w:t>finanțarea proiectelor investiționale</w:t>
            </w:r>
            <w:r w:rsidRPr="00483DC7">
              <w:rPr>
                <w:rFonts w:ascii="Times New Roman" w:hAnsi="Times New Roman" w:cs="Times New Roman"/>
                <w:sz w:val="20"/>
                <w:szCs w:val="20"/>
                <w:lang w:val="ro-MD"/>
              </w:rPr>
              <w:t xml:space="preserve"> a</w:t>
            </w:r>
            <w:r w:rsidR="007A3B14" w:rsidRPr="00483DC7">
              <w:rPr>
                <w:rFonts w:ascii="Times New Roman" w:hAnsi="Times New Roman" w:cs="Times New Roman"/>
                <w:sz w:val="20"/>
                <w:szCs w:val="20"/>
                <w:lang w:val="ro-MD"/>
              </w:rPr>
              <w:t>le</w:t>
            </w:r>
            <w:r w:rsidRPr="00483DC7">
              <w:rPr>
                <w:rFonts w:ascii="Times New Roman" w:hAnsi="Times New Roman" w:cs="Times New Roman"/>
                <w:sz w:val="20"/>
                <w:szCs w:val="20"/>
                <w:lang w:val="ro-MD"/>
              </w:rPr>
              <w:t xml:space="preserve"> BEI</w:t>
            </w:r>
          </w:p>
        </w:tc>
        <w:tc>
          <w:tcPr>
            <w:tcW w:w="2126" w:type="dxa"/>
            <w:vAlign w:val="center"/>
            <w:hideMark/>
          </w:tcPr>
          <w:p w14:paraId="1B8D31A5" w14:textId="18094D8A" w:rsidR="00DA2AF9" w:rsidRPr="00483DC7" w:rsidRDefault="007A5757"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w:t>
            </w:r>
            <w:r w:rsidR="00DA2AF9" w:rsidRPr="00483DC7">
              <w:rPr>
                <w:rFonts w:ascii="Times New Roman" w:hAnsi="Times New Roman" w:cs="Times New Roman"/>
                <w:sz w:val="20"/>
                <w:szCs w:val="20"/>
                <w:lang w:val="ro-MD"/>
              </w:rPr>
              <w:t>00,00</w:t>
            </w:r>
          </w:p>
        </w:tc>
        <w:tc>
          <w:tcPr>
            <w:tcW w:w="1846" w:type="dxa"/>
            <w:vAlign w:val="center"/>
            <w:hideMark/>
          </w:tcPr>
          <w:p w14:paraId="12B64F53" w14:textId="2F3AD7CC" w:rsidR="00DA2AF9" w:rsidRPr="00483DC7" w:rsidRDefault="007A5757"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w:t>
            </w:r>
            <w:r w:rsidR="00DA2AF9" w:rsidRPr="00483DC7">
              <w:rPr>
                <w:rFonts w:ascii="Times New Roman" w:hAnsi="Times New Roman" w:cs="Times New Roman"/>
                <w:sz w:val="20"/>
                <w:szCs w:val="20"/>
                <w:lang w:val="ro-MD"/>
              </w:rPr>
              <w:t>00,00</w:t>
            </w:r>
          </w:p>
        </w:tc>
      </w:tr>
      <w:tr w:rsidR="00DA2AF9" w:rsidRPr="00483DC7" w14:paraId="4A2668D5" w14:textId="77777777" w:rsidTr="00DC47DC">
        <w:trPr>
          <w:trHeight w:val="271"/>
        </w:trPr>
        <w:tc>
          <w:tcPr>
            <w:tcW w:w="5382" w:type="dxa"/>
            <w:vAlign w:val="center"/>
            <w:hideMark/>
          </w:tcPr>
          <w:p w14:paraId="6B9BD161" w14:textId="77777777" w:rsidR="00DA2AF9" w:rsidRPr="00483DC7" w:rsidRDefault="00DA2AF9" w:rsidP="00DC47DC">
            <w:pPr>
              <w:rPr>
                <w:rFonts w:ascii="Times New Roman" w:hAnsi="Times New Roman" w:cs="Times New Roman"/>
                <w:sz w:val="20"/>
                <w:szCs w:val="20"/>
                <w:lang w:val="ro-MD"/>
              </w:rPr>
            </w:pPr>
            <w:r w:rsidRPr="00483DC7">
              <w:rPr>
                <w:rFonts w:ascii="Times New Roman" w:hAnsi="Times New Roman" w:cs="Times New Roman"/>
                <w:sz w:val="20"/>
                <w:szCs w:val="20"/>
                <w:lang w:val="ro-MD"/>
              </w:rPr>
              <w:t>Directiva 2014/24/EU privind achizițiile publice</w:t>
            </w:r>
          </w:p>
        </w:tc>
        <w:tc>
          <w:tcPr>
            <w:tcW w:w="2126" w:type="dxa"/>
            <w:vAlign w:val="center"/>
            <w:hideMark/>
          </w:tcPr>
          <w:p w14:paraId="53BC6043"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2.880,00</w:t>
            </w:r>
          </w:p>
        </w:tc>
        <w:tc>
          <w:tcPr>
            <w:tcW w:w="1846" w:type="dxa"/>
            <w:vAlign w:val="center"/>
            <w:hideMark/>
          </w:tcPr>
          <w:p w14:paraId="7CC5C513"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110.960,00</w:t>
            </w:r>
          </w:p>
        </w:tc>
      </w:tr>
      <w:tr w:rsidR="00DA2AF9" w:rsidRPr="00483DC7" w14:paraId="0D2C1EE0" w14:textId="77777777" w:rsidTr="008F381B">
        <w:trPr>
          <w:trHeight w:val="484"/>
        </w:trPr>
        <w:tc>
          <w:tcPr>
            <w:tcW w:w="5382" w:type="dxa"/>
            <w:vAlign w:val="center"/>
          </w:tcPr>
          <w:p w14:paraId="3E9081D4" w14:textId="77777777" w:rsidR="00DA2AF9" w:rsidRPr="00483DC7" w:rsidRDefault="00DA2AF9" w:rsidP="00DC47DC">
            <w:pPr>
              <w:rPr>
                <w:rFonts w:ascii="Times New Roman" w:hAnsi="Times New Roman" w:cs="Times New Roman"/>
                <w:sz w:val="20"/>
                <w:szCs w:val="20"/>
                <w:lang w:val="ro-MD"/>
              </w:rPr>
            </w:pPr>
            <w:r w:rsidRPr="00483DC7">
              <w:rPr>
                <w:rFonts w:ascii="Times New Roman" w:hAnsi="Times New Roman" w:cs="Times New Roman"/>
                <w:sz w:val="20"/>
                <w:szCs w:val="20"/>
                <w:lang w:val="ro-MD"/>
              </w:rPr>
              <w:t>Directiva 2014/24/EU privind achizițiile publice (pragurile privind achizițiile de mică valoare)</w:t>
            </w:r>
          </w:p>
        </w:tc>
        <w:tc>
          <w:tcPr>
            <w:tcW w:w="2126" w:type="dxa"/>
            <w:vAlign w:val="center"/>
          </w:tcPr>
          <w:p w14:paraId="48D182AC"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1.600,00</w:t>
            </w:r>
          </w:p>
        </w:tc>
        <w:tc>
          <w:tcPr>
            <w:tcW w:w="1846" w:type="dxa"/>
            <w:vAlign w:val="center"/>
          </w:tcPr>
          <w:p w14:paraId="288EE677"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20.000,00</w:t>
            </w:r>
          </w:p>
        </w:tc>
      </w:tr>
      <w:tr w:rsidR="00DA2AF9" w:rsidRPr="00483DC7" w14:paraId="1A171E6F" w14:textId="77777777" w:rsidTr="00DC47DC">
        <w:trPr>
          <w:trHeight w:val="187"/>
        </w:trPr>
        <w:tc>
          <w:tcPr>
            <w:tcW w:w="5382" w:type="dxa"/>
            <w:vAlign w:val="center"/>
            <w:hideMark/>
          </w:tcPr>
          <w:p w14:paraId="70A94154" w14:textId="77777777" w:rsidR="00DA2AF9" w:rsidRPr="00483DC7" w:rsidRDefault="00DA2AF9" w:rsidP="00DC47DC">
            <w:pPr>
              <w:rPr>
                <w:rFonts w:ascii="Times New Roman" w:hAnsi="Times New Roman" w:cs="Times New Roman"/>
                <w:sz w:val="20"/>
                <w:szCs w:val="20"/>
                <w:lang w:val="ro-MD"/>
              </w:rPr>
            </w:pPr>
            <w:r w:rsidRPr="00483DC7">
              <w:rPr>
                <w:rFonts w:ascii="Times New Roman" w:hAnsi="Times New Roman" w:cs="Times New Roman"/>
                <w:sz w:val="20"/>
                <w:szCs w:val="20"/>
                <w:lang w:val="ro-MD"/>
              </w:rPr>
              <w:t>Politica și regulile BERD</w:t>
            </w:r>
          </w:p>
        </w:tc>
        <w:tc>
          <w:tcPr>
            <w:tcW w:w="2126" w:type="dxa"/>
            <w:vAlign w:val="center"/>
            <w:hideMark/>
          </w:tcPr>
          <w:p w14:paraId="283C1812"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2.800,00</w:t>
            </w:r>
          </w:p>
        </w:tc>
        <w:tc>
          <w:tcPr>
            <w:tcW w:w="1846" w:type="dxa"/>
            <w:vAlign w:val="center"/>
            <w:hideMark/>
          </w:tcPr>
          <w:p w14:paraId="24743B64"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107.000,00</w:t>
            </w:r>
          </w:p>
        </w:tc>
      </w:tr>
      <w:tr w:rsidR="00DA2AF9" w:rsidRPr="00483DC7" w14:paraId="2A352209" w14:textId="77777777" w:rsidTr="00DC47DC">
        <w:trPr>
          <w:trHeight w:val="223"/>
        </w:trPr>
        <w:tc>
          <w:tcPr>
            <w:tcW w:w="5382" w:type="dxa"/>
            <w:vAlign w:val="center"/>
            <w:hideMark/>
          </w:tcPr>
          <w:p w14:paraId="03F73729" w14:textId="0C61D6EE" w:rsidR="00DA2AF9" w:rsidRPr="00483DC7" w:rsidRDefault="00DA2AF9" w:rsidP="000D5853">
            <w:pPr>
              <w:rPr>
                <w:rFonts w:ascii="Times New Roman" w:hAnsi="Times New Roman" w:cs="Times New Roman"/>
                <w:sz w:val="20"/>
                <w:szCs w:val="20"/>
                <w:lang w:val="ro-MD"/>
              </w:rPr>
            </w:pPr>
            <w:r w:rsidRPr="00483DC7">
              <w:rPr>
                <w:rFonts w:ascii="Times New Roman" w:hAnsi="Times New Roman" w:cs="Times New Roman"/>
                <w:sz w:val="20"/>
                <w:szCs w:val="20"/>
                <w:lang w:val="ro-MD"/>
              </w:rPr>
              <w:t>Manualul</w:t>
            </w:r>
            <w:r w:rsidR="000D5853">
              <w:rPr>
                <w:rFonts w:ascii="Times New Roman" w:hAnsi="Times New Roman" w:cs="Times New Roman"/>
                <w:sz w:val="20"/>
                <w:szCs w:val="20"/>
                <w:lang w:val="ro-MD"/>
              </w:rPr>
              <w:t xml:space="preserve"> de achiziții al Națiunilor Unite</w:t>
            </w:r>
          </w:p>
        </w:tc>
        <w:tc>
          <w:tcPr>
            <w:tcW w:w="2126" w:type="dxa"/>
            <w:vAlign w:val="center"/>
            <w:hideMark/>
          </w:tcPr>
          <w:p w14:paraId="3E0BC12A"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2.700,00</w:t>
            </w:r>
          </w:p>
        </w:tc>
        <w:tc>
          <w:tcPr>
            <w:tcW w:w="1846" w:type="dxa"/>
            <w:vAlign w:val="center"/>
            <w:hideMark/>
          </w:tcPr>
          <w:p w14:paraId="63FE349C" w14:textId="77777777" w:rsidR="00DA2AF9" w:rsidRPr="00483DC7" w:rsidRDefault="00DA2AF9" w:rsidP="00DC47DC">
            <w:pPr>
              <w:ind w:firstLine="567"/>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2.700,00</w:t>
            </w:r>
          </w:p>
        </w:tc>
      </w:tr>
      <w:tr w:rsidR="00DA2AF9" w:rsidRPr="00483DC7" w14:paraId="42BAA997" w14:textId="77777777" w:rsidTr="00DC47DC">
        <w:trPr>
          <w:trHeight w:val="249"/>
        </w:trPr>
        <w:tc>
          <w:tcPr>
            <w:tcW w:w="9354" w:type="dxa"/>
            <w:gridSpan w:val="3"/>
            <w:tcBorders>
              <w:left w:val="single" w:sz="4" w:space="0" w:color="FFFFFF" w:themeColor="background1"/>
              <w:bottom w:val="single" w:sz="4" w:space="0" w:color="FFFFFF" w:themeColor="background1"/>
              <w:right w:val="single" w:sz="4" w:space="0" w:color="FFFFFF" w:themeColor="background1"/>
            </w:tcBorders>
          </w:tcPr>
          <w:p w14:paraId="5367732F" w14:textId="3DA7132B" w:rsidR="00DA2AF9" w:rsidRPr="00483DC7" w:rsidRDefault="00DA2AF9" w:rsidP="00DC47DC">
            <w:pPr>
              <w:ind w:firstLine="567"/>
              <w:jc w:val="center"/>
              <w:rPr>
                <w:rFonts w:ascii="Times New Roman" w:hAnsi="Times New Roman" w:cs="Times New Roman"/>
                <w:i/>
                <w:sz w:val="20"/>
                <w:szCs w:val="20"/>
                <w:lang w:val="ro-MD"/>
              </w:rPr>
            </w:pPr>
            <w:r w:rsidRPr="00483DC7">
              <w:rPr>
                <w:rFonts w:ascii="Times New Roman" w:hAnsi="Times New Roman" w:cs="Times New Roman"/>
                <w:b/>
                <w:i/>
                <w:sz w:val="20"/>
                <w:szCs w:val="20"/>
                <w:lang w:val="ro-MD"/>
              </w:rPr>
              <w:t>Sursa:</w:t>
            </w:r>
            <w:r w:rsidR="00164A0C">
              <w:rPr>
                <w:rFonts w:ascii="Times New Roman" w:hAnsi="Times New Roman" w:cs="Times New Roman"/>
                <w:i/>
                <w:sz w:val="20"/>
                <w:szCs w:val="20"/>
                <w:lang w:val="ro-MD"/>
              </w:rPr>
              <w:t xml:space="preserve"> Informații sistematizate</w:t>
            </w:r>
            <w:r w:rsidRPr="00483DC7">
              <w:rPr>
                <w:rFonts w:ascii="Times New Roman" w:hAnsi="Times New Roman" w:cs="Times New Roman"/>
                <w:i/>
                <w:sz w:val="20"/>
                <w:szCs w:val="20"/>
                <w:lang w:val="ro-MD"/>
              </w:rPr>
              <w:t xml:space="preserve"> de către audit.</w:t>
            </w:r>
          </w:p>
        </w:tc>
      </w:tr>
    </w:tbl>
    <w:p w14:paraId="7E03EAA6" w14:textId="10ADCAE0" w:rsidR="00F10BBD" w:rsidRDefault="00DA2AF9" w:rsidP="00283081">
      <w:pPr>
        <w:spacing w:before="240"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Aplicarea unor praguri</w:t>
      </w:r>
      <w:r w:rsidR="00164A0C">
        <w:rPr>
          <w:rFonts w:ascii="Times New Roman" w:hAnsi="Times New Roman" w:cs="Times New Roman"/>
          <w:sz w:val="24"/>
          <w:szCs w:val="24"/>
          <w:shd w:val="clear" w:color="auto" w:fill="FFFFFF" w:themeFill="background1"/>
          <w:lang w:val="ro-MD"/>
        </w:rPr>
        <w:t xml:space="preserve"> net superioare,</w:t>
      </w:r>
      <w:r w:rsidRPr="00483DC7">
        <w:rPr>
          <w:rFonts w:ascii="Times New Roman" w:hAnsi="Times New Roman" w:cs="Times New Roman"/>
          <w:sz w:val="24"/>
          <w:szCs w:val="24"/>
          <w:shd w:val="clear" w:color="auto" w:fill="FFFFFF" w:themeFill="background1"/>
          <w:lang w:val="ro-MD"/>
        </w:rPr>
        <w:t xml:space="preserve"> prevăzute de Acordurile de finanțare</w:t>
      </w:r>
      <w:r w:rsidR="00164A0C">
        <w:rPr>
          <w:rFonts w:ascii="Times New Roman" w:hAnsi="Times New Roman" w:cs="Times New Roman"/>
          <w:sz w:val="24"/>
          <w:szCs w:val="24"/>
          <w:shd w:val="clear" w:color="auto" w:fill="FFFFFF" w:themeFill="background1"/>
          <w:lang w:val="ro-MD"/>
        </w:rPr>
        <w:t xml:space="preserve">, </w:t>
      </w:r>
      <w:r w:rsidRPr="00483DC7">
        <w:rPr>
          <w:rFonts w:ascii="Times New Roman" w:hAnsi="Times New Roman" w:cs="Times New Roman"/>
          <w:sz w:val="24"/>
          <w:szCs w:val="24"/>
          <w:shd w:val="clear" w:color="auto" w:fill="FFFFFF" w:themeFill="background1"/>
          <w:lang w:val="ro-MD"/>
        </w:rPr>
        <w:t>față de pragurile prevăzute de Legea nr.131/2015</w:t>
      </w:r>
      <w:r w:rsidR="00164A0C">
        <w:rPr>
          <w:rFonts w:ascii="Times New Roman" w:hAnsi="Times New Roman" w:cs="Times New Roman"/>
          <w:sz w:val="24"/>
          <w:szCs w:val="24"/>
          <w:shd w:val="clear" w:color="auto" w:fill="FFFFFF" w:themeFill="background1"/>
          <w:lang w:val="ro-MD"/>
        </w:rPr>
        <w:t>,</w:t>
      </w:r>
      <w:r w:rsidRPr="00483DC7">
        <w:rPr>
          <w:rFonts w:ascii="Times New Roman" w:hAnsi="Times New Roman" w:cs="Times New Roman"/>
          <w:sz w:val="24"/>
          <w:szCs w:val="24"/>
          <w:shd w:val="clear" w:color="auto" w:fill="FFFFFF" w:themeFill="background1"/>
          <w:lang w:val="ro-MD"/>
        </w:rPr>
        <w:t xml:space="preserve"> generează </w:t>
      </w:r>
      <w:r w:rsidR="005E4423" w:rsidRPr="00483DC7">
        <w:rPr>
          <w:rFonts w:ascii="Times New Roman" w:hAnsi="Times New Roman" w:cs="Times New Roman"/>
          <w:sz w:val="24"/>
          <w:szCs w:val="24"/>
          <w:shd w:val="clear" w:color="auto" w:fill="FFFFFF" w:themeFill="background1"/>
          <w:lang w:val="ro-MD"/>
        </w:rPr>
        <w:t>riscuri de afectare a transparenței, publicității și concurenței loiale</w:t>
      </w:r>
      <w:r w:rsidR="00D43B12" w:rsidRPr="00483DC7">
        <w:rPr>
          <w:rFonts w:ascii="Times New Roman" w:hAnsi="Times New Roman" w:cs="Times New Roman"/>
          <w:sz w:val="24"/>
          <w:szCs w:val="24"/>
          <w:shd w:val="clear" w:color="auto" w:fill="FFFFFF" w:themeFill="background1"/>
          <w:lang w:val="ro-MD"/>
        </w:rPr>
        <w:t xml:space="preserve"> în cadrul procedurilor de achiziții</w:t>
      </w:r>
      <w:r w:rsidR="005E4423" w:rsidRPr="00483DC7">
        <w:rPr>
          <w:rFonts w:ascii="Times New Roman" w:hAnsi="Times New Roman" w:cs="Times New Roman"/>
          <w:sz w:val="24"/>
          <w:szCs w:val="24"/>
          <w:shd w:val="clear" w:color="auto" w:fill="FFFFFF" w:themeFill="background1"/>
          <w:lang w:val="ro-MD"/>
        </w:rPr>
        <w:t xml:space="preserve">, </w:t>
      </w:r>
      <w:r w:rsidR="00D43B12" w:rsidRPr="00483DC7">
        <w:rPr>
          <w:rFonts w:ascii="Times New Roman" w:hAnsi="Times New Roman" w:cs="Times New Roman"/>
          <w:sz w:val="24"/>
          <w:szCs w:val="24"/>
          <w:shd w:val="clear" w:color="auto" w:fill="FFFFFF" w:themeFill="background1"/>
          <w:lang w:val="ro-MD"/>
        </w:rPr>
        <w:t>inclusiv riscul de fraudă și corupție</w:t>
      </w:r>
      <w:r w:rsidR="00164A0C">
        <w:rPr>
          <w:rFonts w:ascii="Times New Roman" w:hAnsi="Times New Roman" w:cs="Times New Roman"/>
          <w:sz w:val="24"/>
          <w:szCs w:val="24"/>
          <w:shd w:val="clear" w:color="auto" w:fill="FFFFFF" w:themeFill="background1"/>
          <w:lang w:val="ro-MD"/>
        </w:rPr>
        <w:t>,</w:t>
      </w:r>
      <w:r w:rsidR="00173FBC" w:rsidRPr="00483DC7">
        <w:rPr>
          <w:rFonts w:ascii="Times New Roman" w:hAnsi="Times New Roman" w:cs="Times New Roman"/>
          <w:sz w:val="24"/>
          <w:szCs w:val="24"/>
          <w:shd w:val="clear" w:color="auto" w:fill="FFFFFF" w:themeFill="background1"/>
          <w:lang w:val="ro-MD"/>
        </w:rPr>
        <w:t xml:space="preserve"> ca</w:t>
      </w:r>
      <w:r w:rsidR="00CC1A0D">
        <w:rPr>
          <w:rFonts w:ascii="Times New Roman" w:hAnsi="Times New Roman" w:cs="Times New Roman"/>
          <w:sz w:val="24"/>
          <w:szCs w:val="24"/>
          <w:shd w:val="clear" w:color="auto" w:fill="FFFFFF" w:themeFill="background1"/>
          <w:lang w:val="ro-MD"/>
        </w:rPr>
        <w:t>re</w:t>
      </w:r>
      <w:r w:rsidR="00173FBC" w:rsidRPr="00483DC7">
        <w:rPr>
          <w:rFonts w:ascii="Times New Roman" w:hAnsi="Times New Roman" w:cs="Times New Roman"/>
          <w:sz w:val="24"/>
          <w:szCs w:val="24"/>
          <w:shd w:val="clear" w:color="auto" w:fill="FFFFFF" w:themeFill="background1"/>
          <w:lang w:val="ro-MD"/>
        </w:rPr>
        <w:t xml:space="preserve"> pot influența direct performanța procedurilor de achiziții, dar și a proiectelor în ansamblu</w:t>
      </w:r>
      <w:r w:rsidR="00D43B12" w:rsidRPr="00483DC7">
        <w:rPr>
          <w:rFonts w:ascii="Times New Roman" w:hAnsi="Times New Roman" w:cs="Times New Roman"/>
          <w:sz w:val="24"/>
          <w:szCs w:val="24"/>
          <w:shd w:val="clear" w:color="auto" w:fill="FFFFFF" w:themeFill="background1"/>
          <w:lang w:val="ro-MD"/>
        </w:rPr>
        <w:t>.</w:t>
      </w:r>
      <w:r w:rsidR="0039134F" w:rsidRPr="00483DC7">
        <w:rPr>
          <w:rFonts w:ascii="Times New Roman" w:hAnsi="Times New Roman" w:cs="Times New Roman"/>
          <w:sz w:val="24"/>
          <w:szCs w:val="24"/>
          <w:shd w:val="clear" w:color="auto" w:fill="FFFFFF" w:themeFill="background1"/>
          <w:lang w:val="ro-MD"/>
        </w:rPr>
        <w:t xml:space="preserve"> </w:t>
      </w:r>
    </w:p>
    <w:p w14:paraId="3E83D43C" w14:textId="690A0C8B" w:rsidR="001465E4" w:rsidRPr="00483DC7" w:rsidRDefault="003743D9" w:rsidP="00F10BBD">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Curtea de Conturi a constatat</w:t>
      </w:r>
      <w:r w:rsidR="00E00A3C" w:rsidRPr="00483DC7">
        <w:rPr>
          <w:rFonts w:ascii="Times New Roman" w:hAnsi="Times New Roman" w:cs="Times New Roman"/>
          <w:sz w:val="24"/>
          <w:szCs w:val="24"/>
          <w:shd w:val="clear" w:color="auto" w:fill="FFFFFF" w:themeFill="background1"/>
          <w:lang w:val="ro-MD"/>
        </w:rPr>
        <w:t xml:space="preserve"> astfel de riscuri materializate în cadrul misiunilor de audit anterioare</w:t>
      </w:r>
      <w:r w:rsidR="00E00A3C" w:rsidRPr="00483DC7">
        <w:rPr>
          <w:rStyle w:val="FootnoteReference"/>
          <w:rFonts w:ascii="Times New Roman" w:hAnsi="Times New Roman" w:cs="Times New Roman"/>
          <w:sz w:val="24"/>
          <w:szCs w:val="24"/>
          <w:shd w:val="clear" w:color="auto" w:fill="FFFFFF" w:themeFill="background1"/>
          <w:lang w:val="ro-MD"/>
        </w:rPr>
        <w:footnoteReference w:id="55"/>
      </w:r>
      <w:r w:rsidR="00E00A3C" w:rsidRPr="00483DC7">
        <w:rPr>
          <w:rFonts w:ascii="Times New Roman" w:hAnsi="Times New Roman" w:cs="Times New Roman"/>
          <w:sz w:val="24"/>
          <w:szCs w:val="24"/>
          <w:shd w:val="clear" w:color="auto" w:fill="FFFFFF" w:themeFill="background1"/>
          <w:lang w:val="ro-MD"/>
        </w:rPr>
        <w:t xml:space="preserve">, iar în cadrul misiunii de audit actuale echipa de audit a analizat doar riscurile de sistem, neavând în obiectivele sale evaluarea conformității procedurilor de achiziții desfășurate de către </w:t>
      </w:r>
      <w:r w:rsidR="00F10BBD">
        <w:rPr>
          <w:rFonts w:ascii="Times New Roman" w:hAnsi="Times New Roman" w:cs="Times New Roman"/>
          <w:sz w:val="24"/>
          <w:szCs w:val="24"/>
          <w:shd w:val="clear" w:color="auto" w:fill="FFFFFF" w:themeFill="background1"/>
          <w:lang w:val="ro-MD"/>
        </w:rPr>
        <w:t xml:space="preserve">fiecare </w:t>
      </w:r>
      <w:r w:rsidR="00E00A3C" w:rsidRPr="00483DC7">
        <w:rPr>
          <w:rFonts w:ascii="Times New Roman" w:hAnsi="Times New Roman" w:cs="Times New Roman"/>
          <w:sz w:val="24"/>
          <w:szCs w:val="24"/>
          <w:shd w:val="clear" w:color="auto" w:fill="FFFFFF" w:themeFill="background1"/>
          <w:lang w:val="ro-MD"/>
        </w:rPr>
        <w:t>UIPFAE.</w:t>
      </w:r>
    </w:p>
    <w:p w14:paraId="35D5952A" w14:textId="4AA43CB9" w:rsidR="00F10BBD" w:rsidRDefault="00D43B12" w:rsidP="00173FBC">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 xml:space="preserve">În același timp, respectarea tuturor rigorilor prevăzute în Legea nr.131/2015, </w:t>
      </w:r>
      <w:r w:rsidR="004614E2" w:rsidRPr="00483DC7">
        <w:rPr>
          <w:rFonts w:ascii="Times New Roman" w:hAnsi="Times New Roman" w:cs="Times New Roman"/>
          <w:sz w:val="24"/>
          <w:szCs w:val="24"/>
          <w:shd w:val="clear" w:color="auto" w:fill="FFFFFF" w:themeFill="background1"/>
          <w:lang w:val="ro-MD"/>
        </w:rPr>
        <w:t>uneori mai restrictive decât condițiile finanțatorului, vin să alinieze procedurile aplicabile la realitățile socioeconomice a</w:t>
      </w:r>
      <w:r w:rsidR="00164A0C">
        <w:rPr>
          <w:rFonts w:ascii="Times New Roman" w:hAnsi="Times New Roman" w:cs="Times New Roman"/>
          <w:sz w:val="24"/>
          <w:szCs w:val="24"/>
          <w:shd w:val="clear" w:color="auto" w:fill="FFFFFF" w:themeFill="background1"/>
          <w:lang w:val="ro-MD"/>
        </w:rPr>
        <w:t>le</w:t>
      </w:r>
      <w:r w:rsidR="004614E2" w:rsidRPr="00483DC7">
        <w:rPr>
          <w:rFonts w:ascii="Times New Roman" w:hAnsi="Times New Roman" w:cs="Times New Roman"/>
          <w:sz w:val="24"/>
          <w:szCs w:val="24"/>
          <w:shd w:val="clear" w:color="auto" w:fill="FFFFFF" w:themeFill="background1"/>
          <w:lang w:val="ro-MD"/>
        </w:rPr>
        <w:t xml:space="preserve"> țării, </w:t>
      </w:r>
      <w:r w:rsidR="00164A0C">
        <w:rPr>
          <w:rFonts w:ascii="Times New Roman" w:hAnsi="Times New Roman" w:cs="Times New Roman"/>
          <w:sz w:val="24"/>
          <w:szCs w:val="24"/>
          <w:shd w:val="clear" w:color="auto" w:fill="FFFFFF" w:themeFill="background1"/>
          <w:lang w:val="ro-MD"/>
        </w:rPr>
        <w:t>pe</w:t>
      </w:r>
      <w:r w:rsidR="004614E2" w:rsidRPr="00483DC7">
        <w:rPr>
          <w:rFonts w:ascii="Times New Roman" w:hAnsi="Times New Roman" w:cs="Times New Roman"/>
          <w:sz w:val="24"/>
          <w:szCs w:val="24"/>
          <w:shd w:val="clear" w:color="auto" w:fill="FFFFFF" w:themeFill="background1"/>
          <w:lang w:val="ro-MD"/>
        </w:rPr>
        <w:t>ntru protejarea interesului public și sprijinirea dezvoltării economice durabile a societății și</w:t>
      </w:r>
      <w:r w:rsidR="00164A0C">
        <w:rPr>
          <w:rFonts w:ascii="Times New Roman" w:hAnsi="Times New Roman" w:cs="Times New Roman"/>
          <w:sz w:val="24"/>
          <w:szCs w:val="24"/>
          <w:shd w:val="clear" w:color="auto" w:fill="FFFFFF" w:themeFill="background1"/>
          <w:lang w:val="ro-MD"/>
        </w:rPr>
        <w:t xml:space="preserve">  a</w:t>
      </w:r>
      <w:r w:rsidR="004614E2" w:rsidRPr="00483DC7">
        <w:rPr>
          <w:rFonts w:ascii="Times New Roman" w:hAnsi="Times New Roman" w:cs="Times New Roman"/>
          <w:sz w:val="24"/>
          <w:szCs w:val="24"/>
          <w:shd w:val="clear" w:color="auto" w:fill="FFFFFF" w:themeFill="background1"/>
          <w:lang w:val="ro-MD"/>
        </w:rPr>
        <w:t xml:space="preserve"> țării în ansamblu</w:t>
      </w:r>
      <w:r w:rsidR="00663A22" w:rsidRPr="00483DC7">
        <w:rPr>
          <w:rFonts w:ascii="Times New Roman" w:hAnsi="Times New Roman" w:cs="Times New Roman"/>
          <w:sz w:val="24"/>
          <w:szCs w:val="24"/>
          <w:shd w:val="clear" w:color="auto" w:fill="FFFFFF" w:themeFill="background1"/>
          <w:lang w:val="ro-MD"/>
        </w:rPr>
        <w:t xml:space="preserve">. </w:t>
      </w:r>
    </w:p>
    <w:p w14:paraId="066076FE" w14:textId="495E729B" w:rsidR="00173FBC" w:rsidRPr="00483DC7" w:rsidRDefault="00AB078D" w:rsidP="00173FBC">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În opinia auditului, i</w:t>
      </w:r>
      <w:r w:rsidR="00663A22" w:rsidRPr="00483DC7">
        <w:rPr>
          <w:rFonts w:ascii="Times New Roman" w:hAnsi="Times New Roman" w:cs="Times New Roman"/>
          <w:sz w:val="24"/>
          <w:szCs w:val="24"/>
          <w:shd w:val="clear" w:color="auto" w:fill="FFFFFF" w:themeFill="background1"/>
          <w:lang w:val="ro-MD"/>
        </w:rPr>
        <w:t xml:space="preserve">mplementarea </w:t>
      </w:r>
      <w:r w:rsidR="00F10BBD">
        <w:rPr>
          <w:rFonts w:ascii="Times New Roman" w:hAnsi="Times New Roman" w:cs="Times New Roman"/>
          <w:sz w:val="24"/>
          <w:szCs w:val="24"/>
          <w:shd w:val="clear" w:color="auto" w:fill="FFFFFF" w:themeFill="background1"/>
          <w:lang w:val="ro-MD"/>
        </w:rPr>
        <w:t xml:space="preserve">și respectarea </w:t>
      </w:r>
      <w:r w:rsidR="00663A22" w:rsidRPr="00483DC7">
        <w:rPr>
          <w:rFonts w:ascii="Times New Roman" w:hAnsi="Times New Roman" w:cs="Times New Roman"/>
          <w:sz w:val="24"/>
          <w:szCs w:val="24"/>
          <w:shd w:val="clear" w:color="auto" w:fill="FFFFFF" w:themeFill="background1"/>
          <w:lang w:val="ro-MD"/>
        </w:rPr>
        <w:t xml:space="preserve">rigorilor naționale </w:t>
      </w:r>
      <w:r w:rsidR="00F10BBD">
        <w:rPr>
          <w:rFonts w:ascii="Times New Roman" w:hAnsi="Times New Roman" w:cs="Times New Roman"/>
          <w:sz w:val="24"/>
          <w:szCs w:val="24"/>
          <w:shd w:val="clear" w:color="auto" w:fill="FFFFFF" w:themeFill="background1"/>
          <w:lang w:val="ro-MD"/>
        </w:rPr>
        <w:t>ar avea un impact pozitiv direct</w:t>
      </w:r>
      <w:r w:rsidR="00663A22" w:rsidRPr="00483DC7">
        <w:rPr>
          <w:rFonts w:ascii="Times New Roman" w:hAnsi="Times New Roman" w:cs="Times New Roman"/>
          <w:sz w:val="24"/>
          <w:szCs w:val="24"/>
          <w:shd w:val="clear" w:color="auto" w:fill="FFFFFF" w:themeFill="background1"/>
          <w:lang w:val="ro-MD"/>
        </w:rPr>
        <w:t xml:space="preserve"> </w:t>
      </w:r>
      <w:r w:rsidR="00164A0C">
        <w:rPr>
          <w:rFonts w:ascii="Times New Roman" w:hAnsi="Times New Roman" w:cs="Times New Roman"/>
          <w:sz w:val="24"/>
          <w:szCs w:val="24"/>
          <w:shd w:val="clear" w:color="auto" w:fill="FFFFFF" w:themeFill="background1"/>
          <w:lang w:val="ro-MD"/>
        </w:rPr>
        <w:t>asupra</w:t>
      </w:r>
      <w:r w:rsidR="00663A22" w:rsidRPr="00483DC7">
        <w:rPr>
          <w:rFonts w:ascii="Times New Roman" w:hAnsi="Times New Roman" w:cs="Times New Roman"/>
          <w:sz w:val="24"/>
          <w:szCs w:val="24"/>
          <w:shd w:val="clear" w:color="auto" w:fill="FFFFFF" w:themeFill="background1"/>
          <w:lang w:val="ro-MD"/>
        </w:rPr>
        <w:t xml:space="preserve"> eficienț</w:t>
      </w:r>
      <w:r w:rsidR="00164A0C">
        <w:rPr>
          <w:rFonts w:ascii="Times New Roman" w:hAnsi="Times New Roman" w:cs="Times New Roman"/>
          <w:sz w:val="24"/>
          <w:szCs w:val="24"/>
          <w:shd w:val="clear" w:color="auto" w:fill="FFFFFF" w:themeFill="background1"/>
          <w:lang w:val="ro-MD"/>
        </w:rPr>
        <w:t>ei</w:t>
      </w:r>
      <w:r w:rsidR="00663A22" w:rsidRPr="00483DC7">
        <w:rPr>
          <w:rFonts w:ascii="Times New Roman" w:hAnsi="Times New Roman" w:cs="Times New Roman"/>
          <w:sz w:val="24"/>
          <w:szCs w:val="24"/>
          <w:shd w:val="clear" w:color="auto" w:fill="FFFFFF" w:themeFill="background1"/>
          <w:lang w:val="ro-MD"/>
        </w:rPr>
        <w:t xml:space="preserve"> utilizării r</w:t>
      </w:r>
      <w:r w:rsidR="00E73917">
        <w:rPr>
          <w:rFonts w:ascii="Times New Roman" w:hAnsi="Times New Roman" w:cs="Times New Roman"/>
          <w:sz w:val="24"/>
          <w:szCs w:val="24"/>
          <w:shd w:val="clear" w:color="auto" w:fill="FFFFFF" w:themeFill="background1"/>
          <w:lang w:val="ro-MD"/>
        </w:rPr>
        <w:t xml:space="preserve">esurselor publice, </w:t>
      </w:r>
      <w:r w:rsidRPr="00483DC7">
        <w:rPr>
          <w:rFonts w:ascii="Times New Roman" w:hAnsi="Times New Roman" w:cs="Times New Roman"/>
          <w:sz w:val="24"/>
          <w:szCs w:val="24"/>
          <w:shd w:val="clear" w:color="auto" w:fill="FFFFFF" w:themeFill="background1"/>
          <w:lang w:val="ro-MD"/>
        </w:rPr>
        <w:t xml:space="preserve">prin </w:t>
      </w:r>
      <w:r w:rsidR="00F10BBD">
        <w:rPr>
          <w:rFonts w:ascii="Times New Roman" w:hAnsi="Times New Roman" w:cs="Times New Roman"/>
          <w:sz w:val="24"/>
          <w:szCs w:val="24"/>
          <w:shd w:val="clear" w:color="auto" w:fill="FFFFFF" w:themeFill="background1"/>
          <w:lang w:val="ro-MD"/>
        </w:rPr>
        <w:t xml:space="preserve">asigurarea desfășurării unor </w:t>
      </w:r>
      <w:r w:rsidRPr="00483DC7">
        <w:rPr>
          <w:rFonts w:ascii="Times New Roman" w:hAnsi="Times New Roman" w:cs="Times New Roman"/>
          <w:sz w:val="24"/>
          <w:szCs w:val="24"/>
          <w:shd w:val="clear" w:color="auto" w:fill="FFFFFF" w:themeFill="background1"/>
          <w:lang w:val="ro-MD"/>
        </w:rPr>
        <w:t>proceduri competitive și echitabile,</w:t>
      </w:r>
      <w:r w:rsidR="00E73917">
        <w:rPr>
          <w:rFonts w:ascii="Times New Roman" w:hAnsi="Times New Roman" w:cs="Times New Roman"/>
          <w:sz w:val="24"/>
          <w:szCs w:val="24"/>
          <w:shd w:val="clear" w:color="auto" w:fill="FFFFFF" w:themeFill="background1"/>
          <w:lang w:val="ro-MD"/>
        </w:rPr>
        <w:t xml:space="preserve"> implicit, a</w:t>
      </w:r>
      <w:r w:rsidRPr="00483DC7">
        <w:rPr>
          <w:rFonts w:ascii="Times New Roman" w:hAnsi="Times New Roman" w:cs="Times New Roman"/>
          <w:sz w:val="24"/>
          <w:szCs w:val="24"/>
          <w:shd w:val="clear" w:color="auto" w:fill="FFFFFF" w:themeFill="background1"/>
          <w:lang w:val="ro-MD"/>
        </w:rPr>
        <w:t xml:space="preserve"> </w:t>
      </w:r>
      <w:r w:rsidR="00E73917">
        <w:rPr>
          <w:rFonts w:ascii="Times New Roman" w:hAnsi="Times New Roman" w:cs="Times New Roman"/>
          <w:sz w:val="24"/>
          <w:szCs w:val="24"/>
          <w:shd w:val="clear" w:color="auto" w:fill="FFFFFF" w:themeFill="background1"/>
          <w:lang w:val="ro-MD"/>
        </w:rPr>
        <w:t>unui</w:t>
      </w:r>
      <w:r w:rsidRPr="00483DC7">
        <w:rPr>
          <w:rFonts w:ascii="Times New Roman" w:hAnsi="Times New Roman" w:cs="Times New Roman"/>
          <w:sz w:val="24"/>
          <w:szCs w:val="24"/>
          <w:shd w:val="clear" w:color="auto" w:fill="FFFFFF" w:themeFill="background1"/>
          <w:lang w:val="ro-MD"/>
        </w:rPr>
        <w:t xml:space="preserve"> cadru normativ </w:t>
      </w:r>
      <w:r w:rsidR="00E73917">
        <w:rPr>
          <w:rFonts w:ascii="Times New Roman" w:hAnsi="Times New Roman" w:cs="Times New Roman"/>
          <w:sz w:val="24"/>
          <w:szCs w:val="24"/>
          <w:shd w:val="clear" w:color="auto" w:fill="FFFFFF" w:themeFill="background1"/>
          <w:lang w:val="ro-MD"/>
        </w:rPr>
        <w:t>univoc și coerent</w:t>
      </w:r>
      <w:r w:rsidRPr="00483DC7">
        <w:rPr>
          <w:rFonts w:ascii="Times New Roman" w:hAnsi="Times New Roman" w:cs="Times New Roman"/>
          <w:sz w:val="24"/>
          <w:szCs w:val="24"/>
          <w:shd w:val="clear" w:color="auto" w:fill="FFFFFF" w:themeFill="background1"/>
          <w:lang w:val="ro-MD"/>
        </w:rPr>
        <w:t xml:space="preserve"> pentru soluționarea contestațiilor legate de achizițiile publice</w:t>
      </w:r>
      <w:r w:rsidR="00F10BBD">
        <w:rPr>
          <w:rFonts w:ascii="Times New Roman" w:hAnsi="Times New Roman" w:cs="Times New Roman"/>
          <w:sz w:val="24"/>
          <w:szCs w:val="24"/>
          <w:shd w:val="clear" w:color="auto" w:fill="FFFFFF" w:themeFill="background1"/>
          <w:lang w:val="ro-MD"/>
        </w:rPr>
        <w:t xml:space="preserve"> </w:t>
      </w:r>
      <w:r w:rsidRPr="00483DC7">
        <w:rPr>
          <w:rFonts w:ascii="Times New Roman" w:hAnsi="Times New Roman" w:cs="Times New Roman"/>
          <w:sz w:val="24"/>
          <w:szCs w:val="24"/>
          <w:shd w:val="clear" w:color="auto" w:fill="FFFFFF" w:themeFill="background1"/>
          <w:lang w:val="ro-MD"/>
        </w:rPr>
        <w:t>și protecția părților interesate</w:t>
      </w:r>
      <w:r w:rsidR="00F10BBD">
        <w:rPr>
          <w:rFonts w:ascii="Times New Roman" w:hAnsi="Times New Roman" w:cs="Times New Roman"/>
          <w:sz w:val="24"/>
          <w:szCs w:val="24"/>
          <w:shd w:val="clear" w:color="auto" w:fill="FFFFFF" w:themeFill="background1"/>
          <w:lang w:val="ro-MD"/>
        </w:rPr>
        <w:t>, oferind acces la instrumentul de penalizare a antreprenorilor de rea credință care nu-și onorează obligațiile contractuale, subiect abordat de Curtea de Conturi în</w:t>
      </w:r>
      <w:r w:rsidR="00683D84">
        <w:rPr>
          <w:rFonts w:ascii="Times New Roman" w:hAnsi="Times New Roman" w:cs="Times New Roman"/>
          <w:sz w:val="24"/>
          <w:szCs w:val="24"/>
          <w:shd w:val="clear" w:color="auto" w:fill="FFFFFF" w:themeFill="background1"/>
          <w:lang w:val="ro-MD"/>
        </w:rPr>
        <w:t xml:space="preserve"> cadrul</w:t>
      </w:r>
      <w:r w:rsidR="00F10BBD">
        <w:rPr>
          <w:rFonts w:ascii="Times New Roman" w:hAnsi="Times New Roman" w:cs="Times New Roman"/>
          <w:sz w:val="24"/>
          <w:szCs w:val="24"/>
          <w:shd w:val="clear" w:color="auto" w:fill="FFFFFF" w:themeFill="background1"/>
          <w:lang w:val="ro-MD"/>
        </w:rPr>
        <w:t xml:space="preserve"> misiuni</w:t>
      </w:r>
      <w:r w:rsidR="00683D84">
        <w:rPr>
          <w:rFonts w:ascii="Times New Roman" w:hAnsi="Times New Roman" w:cs="Times New Roman"/>
          <w:sz w:val="24"/>
          <w:szCs w:val="24"/>
          <w:shd w:val="clear" w:color="auto" w:fill="FFFFFF" w:themeFill="background1"/>
          <w:lang w:val="ro-MD"/>
        </w:rPr>
        <w:t>lor</w:t>
      </w:r>
      <w:r w:rsidR="00F10BBD">
        <w:rPr>
          <w:rFonts w:ascii="Times New Roman" w:hAnsi="Times New Roman" w:cs="Times New Roman"/>
          <w:sz w:val="24"/>
          <w:szCs w:val="24"/>
          <w:shd w:val="clear" w:color="auto" w:fill="FFFFFF" w:themeFill="background1"/>
          <w:lang w:val="ro-MD"/>
        </w:rPr>
        <w:t xml:space="preserve"> de audit anterioare</w:t>
      </w:r>
      <w:r w:rsidR="00B863AC">
        <w:rPr>
          <w:rStyle w:val="FootnoteReference"/>
          <w:rFonts w:ascii="Times New Roman" w:hAnsi="Times New Roman" w:cs="Times New Roman"/>
          <w:sz w:val="24"/>
          <w:szCs w:val="24"/>
          <w:shd w:val="clear" w:color="auto" w:fill="FFFFFF" w:themeFill="background1"/>
          <w:lang w:val="ro-MD"/>
        </w:rPr>
        <w:footnoteReference w:id="56"/>
      </w:r>
      <w:r w:rsidRPr="00483DC7">
        <w:rPr>
          <w:rFonts w:ascii="Times New Roman" w:hAnsi="Times New Roman" w:cs="Times New Roman"/>
          <w:sz w:val="24"/>
          <w:szCs w:val="24"/>
          <w:shd w:val="clear" w:color="auto" w:fill="FFFFFF" w:themeFill="background1"/>
          <w:lang w:val="ro-MD"/>
        </w:rPr>
        <w:t xml:space="preserve">. </w:t>
      </w:r>
    </w:p>
    <w:p w14:paraId="3DC1B0E3" w14:textId="6134398A" w:rsidR="004614E2" w:rsidRPr="00483DC7" w:rsidRDefault="0039134F" w:rsidP="00173FBC">
      <w:pPr>
        <w:spacing w:after="0" w:line="276" w:lineRule="auto"/>
        <w:ind w:firstLine="709"/>
        <w:jc w:val="both"/>
        <w:rPr>
          <w:rFonts w:ascii="Times New Roman" w:hAnsi="Times New Roman" w:cs="Times New Roman"/>
          <w:sz w:val="24"/>
          <w:szCs w:val="24"/>
          <w:shd w:val="clear" w:color="auto" w:fill="FFFFFF" w:themeFill="background1"/>
          <w:lang w:val="ro-MD"/>
        </w:rPr>
      </w:pPr>
      <w:r w:rsidRPr="00483DC7">
        <w:rPr>
          <w:rFonts w:ascii="Times New Roman" w:hAnsi="Times New Roman" w:cs="Times New Roman"/>
          <w:sz w:val="24"/>
          <w:szCs w:val="24"/>
          <w:shd w:val="clear" w:color="auto" w:fill="FFFFFF" w:themeFill="background1"/>
          <w:lang w:val="ro-MD"/>
        </w:rPr>
        <w:t>T</w:t>
      </w:r>
      <w:r w:rsidR="004614E2" w:rsidRPr="00483DC7">
        <w:rPr>
          <w:rFonts w:ascii="Times New Roman" w:hAnsi="Times New Roman" w:cs="Times New Roman"/>
          <w:sz w:val="24"/>
          <w:szCs w:val="24"/>
          <w:shd w:val="clear" w:color="auto" w:fill="FFFFFF" w:themeFill="background1"/>
          <w:lang w:val="ro-MD"/>
        </w:rPr>
        <w:t xml:space="preserve">otodată </w:t>
      </w:r>
      <w:r w:rsidR="00F10BBD">
        <w:rPr>
          <w:rFonts w:ascii="Times New Roman" w:hAnsi="Times New Roman" w:cs="Times New Roman"/>
          <w:sz w:val="24"/>
          <w:szCs w:val="24"/>
          <w:shd w:val="clear" w:color="auto" w:fill="FFFFFF" w:themeFill="background1"/>
          <w:lang w:val="ro-MD"/>
        </w:rPr>
        <w:t>aplicarea cadrului normativ național</w:t>
      </w:r>
      <w:r w:rsidR="00F10BBD" w:rsidRPr="00483DC7">
        <w:rPr>
          <w:rFonts w:ascii="Times New Roman" w:hAnsi="Times New Roman" w:cs="Times New Roman"/>
          <w:sz w:val="24"/>
          <w:szCs w:val="24"/>
          <w:shd w:val="clear" w:color="auto" w:fill="FFFFFF" w:themeFill="background1"/>
          <w:lang w:val="ro-MD"/>
        </w:rPr>
        <w:t xml:space="preserve"> </w:t>
      </w:r>
      <w:r w:rsidR="004614E2" w:rsidRPr="00483DC7">
        <w:rPr>
          <w:rFonts w:ascii="Times New Roman" w:hAnsi="Times New Roman" w:cs="Times New Roman"/>
          <w:sz w:val="24"/>
          <w:szCs w:val="24"/>
          <w:shd w:val="clear" w:color="auto" w:fill="FFFFFF" w:themeFill="background1"/>
          <w:lang w:val="ro-MD"/>
        </w:rPr>
        <w:t>nu po</w:t>
      </w:r>
      <w:r w:rsidR="00F10BBD">
        <w:rPr>
          <w:rFonts w:ascii="Times New Roman" w:hAnsi="Times New Roman" w:cs="Times New Roman"/>
          <w:sz w:val="24"/>
          <w:szCs w:val="24"/>
          <w:shd w:val="clear" w:color="auto" w:fill="FFFFFF" w:themeFill="background1"/>
          <w:lang w:val="ro-MD"/>
        </w:rPr>
        <w:t>a</w:t>
      </w:r>
      <w:r w:rsidR="004614E2" w:rsidRPr="00483DC7">
        <w:rPr>
          <w:rFonts w:ascii="Times New Roman" w:hAnsi="Times New Roman" w:cs="Times New Roman"/>
          <w:sz w:val="24"/>
          <w:szCs w:val="24"/>
          <w:shd w:val="clear" w:color="auto" w:fill="FFFFFF" w:themeFill="background1"/>
          <w:lang w:val="ro-MD"/>
        </w:rPr>
        <w:t>t</w:t>
      </w:r>
      <w:r w:rsidR="00F10BBD">
        <w:rPr>
          <w:rFonts w:ascii="Times New Roman" w:hAnsi="Times New Roman" w:cs="Times New Roman"/>
          <w:sz w:val="24"/>
          <w:szCs w:val="24"/>
          <w:shd w:val="clear" w:color="auto" w:fill="FFFFFF" w:themeFill="background1"/>
          <w:lang w:val="ro-MD"/>
        </w:rPr>
        <w:t>e</w:t>
      </w:r>
      <w:r w:rsidR="004614E2" w:rsidRPr="00483DC7">
        <w:rPr>
          <w:rFonts w:ascii="Times New Roman" w:hAnsi="Times New Roman" w:cs="Times New Roman"/>
          <w:sz w:val="24"/>
          <w:szCs w:val="24"/>
          <w:shd w:val="clear" w:color="auto" w:fill="FFFFFF" w:themeFill="background1"/>
          <w:lang w:val="ro-MD"/>
        </w:rPr>
        <w:t xml:space="preserve"> fi </w:t>
      </w:r>
      <w:r w:rsidR="00F10BBD">
        <w:rPr>
          <w:rFonts w:ascii="Times New Roman" w:hAnsi="Times New Roman" w:cs="Times New Roman"/>
          <w:sz w:val="24"/>
          <w:szCs w:val="24"/>
          <w:shd w:val="clear" w:color="auto" w:fill="FFFFFF" w:themeFill="background1"/>
          <w:lang w:val="ro-MD"/>
        </w:rPr>
        <w:t>făcută</w:t>
      </w:r>
      <w:r w:rsidR="00F10BBD" w:rsidRPr="00483DC7">
        <w:rPr>
          <w:rFonts w:ascii="Times New Roman" w:hAnsi="Times New Roman" w:cs="Times New Roman"/>
          <w:sz w:val="24"/>
          <w:szCs w:val="24"/>
          <w:shd w:val="clear" w:color="auto" w:fill="FFFFFF" w:themeFill="background1"/>
          <w:lang w:val="ro-MD"/>
        </w:rPr>
        <w:t xml:space="preserve"> </w:t>
      </w:r>
      <w:r w:rsidR="004614E2" w:rsidRPr="00483DC7">
        <w:rPr>
          <w:rFonts w:ascii="Times New Roman" w:hAnsi="Times New Roman" w:cs="Times New Roman"/>
          <w:sz w:val="24"/>
          <w:szCs w:val="24"/>
          <w:shd w:val="clear" w:color="auto" w:fill="FFFFFF" w:themeFill="background1"/>
          <w:lang w:val="ro-MD"/>
        </w:rPr>
        <w:t>unilateral,</w:t>
      </w:r>
      <w:r w:rsidR="00F10BBD">
        <w:rPr>
          <w:rFonts w:ascii="Times New Roman" w:hAnsi="Times New Roman" w:cs="Times New Roman"/>
          <w:sz w:val="24"/>
          <w:szCs w:val="24"/>
          <w:shd w:val="clear" w:color="auto" w:fill="FFFFFF" w:themeFill="background1"/>
          <w:lang w:val="ro-MD"/>
        </w:rPr>
        <w:t xml:space="preserve"> mai ales în cazul în care acordul de finanțare</w:t>
      </w:r>
      <w:r w:rsidR="00F10BBD" w:rsidRPr="00F10BBD">
        <w:rPr>
          <w:rFonts w:ascii="Times New Roman" w:hAnsi="Times New Roman" w:cs="Times New Roman"/>
          <w:sz w:val="24"/>
          <w:szCs w:val="24"/>
          <w:shd w:val="clear" w:color="auto" w:fill="FFFFFF" w:themeFill="background1"/>
          <w:lang w:val="ro-MD"/>
        </w:rPr>
        <w:t xml:space="preserve"> </w:t>
      </w:r>
      <w:r w:rsidR="00F10BBD">
        <w:rPr>
          <w:rFonts w:ascii="Times New Roman" w:hAnsi="Times New Roman" w:cs="Times New Roman"/>
          <w:sz w:val="24"/>
          <w:szCs w:val="24"/>
          <w:shd w:val="clear" w:color="auto" w:fill="FFFFFF" w:themeFill="background1"/>
          <w:lang w:val="ro-MD"/>
        </w:rPr>
        <w:t>este în derulare,</w:t>
      </w:r>
      <w:r w:rsidR="004614E2" w:rsidRPr="00483DC7">
        <w:rPr>
          <w:rFonts w:ascii="Times New Roman" w:hAnsi="Times New Roman" w:cs="Times New Roman"/>
          <w:sz w:val="24"/>
          <w:szCs w:val="24"/>
          <w:shd w:val="clear" w:color="auto" w:fill="FFFFFF" w:themeFill="background1"/>
          <w:lang w:val="ro-MD"/>
        </w:rPr>
        <w:t xml:space="preserve"> ci urmează a fi negociat cu finanțatorul și convenit spre aplicare la etapa de planificare și </w:t>
      </w:r>
      <w:r w:rsidR="008A1B1C">
        <w:rPr>
          <w:rFonts w:ascii="Times New Roman" w:hAnsi="Times New Roman" w:cs="Times New Roman"/>
          <w:sz w:val="24"/>
          <w:szCs w:val="24"/>
          <w:shd w:val="clear" w:color="auto" w:fill="FFFFFF" w:themeFill="background1"/>
          <w:lang w:val="ro-MD"/>
        </w:rPr>
        <w:t>proiectare</w:t>
      </w:r>
      <w:r w:rsidR="004614E2" w:rsidRPr="00483DC7">
        <w:rPr>
          <w:rFonts w:ascii="Times New Roman" w:hAnsi="Times New Roman" w:cs="Times New Roman"/>
          <w:sz w:val="24"/>
          <w:szCs w:val="24"/>
          <w:shd w:val="clear" w:color="auto" w:fill="FFFFFF" w:themeFill="background1"/>
          <w:lang w:val="ro-MD"/>
        </w:rPr>
        <w:t xml:space="preserve"> a viitorului acord de finanțare.</w:t>
      </w:r>
    </w:p>
    <w:p w14:paraId="4AABBA4C" w14:textId="77777777" w:rsidR="004614E2" w:rsidRPr="00483DC7" w:rsidRDefault="004614E2" w:rsidP="00683D8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Activități de control ineficiente au fost constatate și în cadrul procesului de gestionare a lichidităților entităților auditate. Astfel, auditul remarcă că potrivit art.44 din Legea nr.181/2014</w:t>
      </w:r>
      <w:r w:rsidRPr="00483DC7">
        <w:rPr>
          <w:rStyle w:val="FootnoteReference"/>
          <w:rFonts w:ascii="Times New Roman" w:hAnsi="Times New Roman" w:cs="Times New Roman"/>
          <w:sz w:val="24"/>
          <w:szCs w:val="24"/>
          <w:lang w:val="ro-MD"/>
        </w:rPr>
        <w:footnoteReference w:id="57"/>
      </w:r>
      <w:r w:rsidRPr="00483DC7">
        <w:rPr>
          <w:rFonts w:ascii="Times New Roman" w:hAnsi="Times New Roman" w:cs="Times New Roman"/>
          <w:sz w:val="24"/>
          <w:szCs w:val="24"/>
          <w:lang w:val="ro-MD"/>
        </w:rPr>
        <w:t>, resursele financiare aferente proiectelor finanțate din surse externe se administrează în limitele alocațiilor bugetare aprobate, iar mijloacele bănești neutilizate până la data încheierii anului bugetar sunt accesibile pentru utilizare în aceleași scopuri în anul bugetar următor, doar dacă acestea sunt prevăzute în bugetele corespunzătoare.</w:t>
      </w:r>
    </w:p>
    <w:p w14:paraId="3916DA8A" w14:textId="02D67AF6" w:rsidR="004614E2" w:rsidRPr="00483DC7" w:rsidRDefault="004614E2" w:rsidP="0039134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Analizând Rapoartele financiare ale UIPFAE pentru anii 2022-2023, auditul a stabilit că soldurile mijloacelor bănești atrase și neutilizate de către UIPFAE până la sfârșitul anului de gestiune 2022 au însumat cumulativ 503.591,63 mii lei, sau circa 72,60% din valoarea </w:t>
      </w:r>
      <w:r w:rsidRPr="00483DC7">
        <w:rPr>
          <w:rFonts w:ascii="Times New Roman" w:hAnsi="Times New Roman" w:cs="Times New Roman"/>
          <w:sz w:val="24"/>
          <w:szCs w:val="24"/>
          <w:lang w:val="ro-MD"/>
        </w:rPr>
        <w:lastRenderedPageBreak/>
        <w:t xml:space="preserve">împrumuturilor externe primite în perioada de referință, în sumă de 693.699,45 mii lei. La situația din 31.12.2023, valoarea acestui indicator a constituit 262.074,88 mii lei, fiind în descreștere cu 241.516,75 mii lei (sau 47,96%) comparativ cu valoarea înregistrată la situația din 31.12.2022. </w:t>
      </w:r>
      <w:r w:rsidR="0039134F" w:rsidRPr="00483DC7">
        <w:rPr>
          <w:rFonts w:ascii="Times New Roman" w:hAnsi="Times New Roman" w:cs="Times New Roman"/>
          <w:sz w:val="24"/>
          <w:szCs w:val="24"/>
          <w:lang w:val="ro-MD"/>
        </w:rPr>
        <w:t>A</w:t>
      </w:r>
      <w:r w:rsidRPr="00483DC7">
        <w:rPr>
          <w:rFonts w:ascii="Times New Roman" w:hAnsi="Times New Roman" w:cs="Times New Roman"/>
          <w:sz w:val="24"/>
          <w:szCs w:val="24"/>
          <w:lang w:val="ro-MD"/>
        </w:rPr>
        <w:t>naliza detaliată a indicatorilor financiari a</w:t>
      </w:r>
      <w:r w:rsidR="00E73917">
        <w:rPr>
          <w:rFonts w:ascii="Times New Roman" w:hAnsi="Times New Roman" w:cs="Times New Roman"/>
          <w:sz w:val="24"/>
          <w:szCs w:val="24"/>
          <w:lang w:val="ro-MD"/>
        </w:rPr>
        <w:t>i</w:t>
      </w:r>
      <w:r w:rsidRPr="00483DC7">
        <w:rPr>
          <w:rFonts w:ascii="Times New Roman" w:hAnsi="Times New Roman" w:cs="Times New Roman"/>
          <w:sz w:val="24"/>
          <w:szCs w:val="24"/>
          <w:lang w:val="ro-MD"/>
        </w:rPr>
        <w:t xml:space="preserve"> UIPFAE pentru anii de gestiune 2022-2023 se prezintă în </w:t>
      </w:r>
      <w:r w:rsidRPr="00483DC7">
        <w:rPr>
          <w:rFonts w:ascii="Times New Roman" w:hAnsi="Times New Roman" w:cs="Times New Roman"/>
          <w:b/>
          <w:sz w:val="24"/>
          <w:szCs w:val="24"/>
          <w:lang w:val="ro-MD"/>
        </w:rPr>
        <w:t xml:space="preserve">Anexa nr. </w:t>
      </w:r>
      <w:r w:rsidR="00D65157" w:rsidRPr="00483DC7">
        <w:rPr>
          <w:rFonts w:ascii="Times New Roman" w:hAnsi="Times New Roman" w:cs="Times New Roman"/>
          <w:b/>
          <w:sz w:val="24"/>
          <w:szCs w:val="24"/>
          <w:lang w:val="ro-MD"/>
        </w:rPr>
        <w:t>5</w:t>
      </w:r>
      <w:r w:rsidRPr="00483DC7">
        <w:rPr>
          <w:rFonts w:ascii="Times New Roman" w:hAnsi="Times New Roman" w:cs="Times New Roman"/>
          <w:b/>
          <w:sz w:val="24"/>
          <w:szCs w:val="24"/>
          <w:lang w:val="ro-MD"/>
        </w:rPr>
        <w:t xml:space="preserve"> la Raportul de audit</w:t>
      </w:r>
      <w:r w:rsidRPr="00483DC7">
        <w:rPr>
          <w:rFonts w:ascii="Times New Roman" w:hAnsi="Times New Roman" w:cs="Times New Roman"/>
          <w:sz w:val="24"/>
          <w:szCs w:val="24"/>
          <w:lang w:val="ro-MD"/>
        </w:rPr>
        <w:t>.</w:t>
      </w:r>
    </w:p>
    <w:tbl>
      <w:tblPr>
        <w:tblStyle w:val="TableGrid"/>
        <w:tblW w:w="0" w:type="auto"/>
        <w:tblLook w:val="04A0" w:firstRow="1" w:lastRow="0" w:firstColumn="1" w:lastColumn="0" w:noHBand="0" w:noVBand="1"/>
      </w:tblPr>
      <w:tblGrid>
        <w:gridCol w:w="647"/>
        <w:gridCol w:w="2000"/>
        <w:gridCol w:w="2166"/>
        <w:gridCol w:w="2162"/>
        <w:gridCol w:w="2372"/>
      </w:tblGrid>
      <w:tr w:rsidR="004614E2" w:rsidRPr="00483DC7" w14:paraId="0D987EDC" w14:textId="77777777" w:rsidTr="0039134F">
        <w:trPr>
          <w:trHeight w:val="459"/>
        </w:trPr>
        <w:tc>
          <w:tcPr>
            <w:tcW w:w="9347" w:type="dxa"/>
            <w:gridSpan w:val="5"/>
            <w:tcBorders>
              <w:top w:val="single" w:sz="4" w:space="0" w:color="FFFFFF"/>
              <w:left w:val="single" w:sz="4" w:space="0" w:color="FFFFFF"/>
              <w:right w:val="single" w:sz="4" w:space="0" w:color="FFFFFF"/>
            </w:tcBorders>
            <w:shd w:val="clear" w:color="auto" w:fill="auto"/>
            <w:vAlign w:val="center"/>
          </w:tcPr>
          <w:p w14:paraId="3CCAAD4F" w14:textId="77777777" w:rsidR="004614E2" w:rsidRPr="00483DC7" w:rsidRDefault="004614E2" w:rsidP="00427F18">
            <w:pPr>
              <w:spacing w:line="276" w:lineRule="auto"/>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Tabelul nr.6</w:t>
            </w:r>
          </w:p>
          <w:p w14:paraId="46678CFC" w14:textId="77777777" w:rsidR="004614E2" w:rsidRPr="00483DC7" w:rsidRDefault="004614E2" w:rsidP="004614E2">
            <w:pPr>
              <w:spacing w:line="276" w:lineRule="auto"/>
              <w:jc w:val="center"/>
              <w:rPr>
                <w:rFonts w:ascii="Times New Roman" w:hAnsi="Times New Roman" w:cs="Times New Roman"/>
                <w:i/>
                <w:sz w:val="20"/>
                <w:szCs w:val="20"/>
                <w:lang w:val="ro-MD"/>
              </w:rPr>
            </w:pPr>
            <w:r w:rsidRPr="00483DC7">
              <w:rPr>
                <w:rFonts w:ascii="Times New Roman" w:hAnsi="Times New Roman" w:cs="Times New Roman"/>
                <w:i/>
                <w:sz w:val="20"/>
                <w:szCs w:val="20"/>
                <w:lang w:val="ro-MD"/>
              </w:rPr>
              <w:t>Analiza soldurilor de mijloace bănești neutilizate de către UIPFAE până la sfârșitul anilor 2022-2023</w:t>
            </w:r>
          </w:p>
        </w:tc>
      </w:tr>
      <w:tr w:rsidR="004614E2" w:rsidRPr="00483DC7" w14:paraId="6FB11E30" w14:textId="77777777" w:rsidTr="0039134F">
        <w:trPr>
          <w:trHeight w:val="788"/>
        </w:trPr>
        <w:tc>
          <w:tcPr>
            <w:tcW w:w="549" w:type="dxa"/>
            <w:shd w:val="clear" w:color="auto" w:fill="D9E2F3" w:themeFill="accent5" w:themeFillTint="33"/>
            <w:vAlign w:val="center"/>
          </w:tcPr>
          <w:p w14:paraId="2E477333" w14:textId="0FFDBE79" w:rsidR="004614E2" w:rsidRPr="00483DC7" w:rsidRDefault="004614E2" w:rsidP="00E73917">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Nr. </w:t>
            </w:r>
            <w:r w:rsidR="00E73917">
              <w:rPr>
                <w:rFonts w:ascii="Times New Roman" w:hAnsi="Times New Roman" w:cs="Times New Roman"/>
                <w:b/>
                <w:sz w:val="20"/>
                <w:szCs w:val="20"/>
                <w:lang w:val="ro-MD"/>
              </w:rPr>
              <w:t>crt.</w:t>
            </w:r>
          </w:p>
        </w:tc>
        <w:tc>
          <w:tcPr>
            <w:tcW w:w="1919" w:type="dxa"/>
            <w:shd w:val="clear" w:color="auto" w:fill="D9E2F3" w:themeFill="accent5" w:themeFillTint="33"/>
            <w:vAlign w:val="center"/>
          </w:tcPr>
          <w:p w14:paraId="061B24A0" w14:textId="77777777" w:rsidR="004614E2" w:rsidRPr="00483DC7" w:rsidRDefault="004614E2" w:rsidP="00427F18">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Denumirea UIPFAE</w:t>
            </w:r>
          </w:p>
        </w:tc>
        <w:tc>
          <w:tcPr>
            <w:tcW w:w="2463" w:type="dxa"/>
            <w:shd w:val="clear" w:color="auto" w:fill="D9E2F3" w:themeFill="accent5" w:themeFillTint="33"/>
            <w:vAlign w:val="center"/>
          </w:tcPr>
          <w:p w14:paraId="5A58D156" w14:textId="77777777" w:rsidR="004614E2" w:rsidRPr="00483DC7" w:rsidRDefault="004614E2" w:rsidP="00427F18">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Soldul de mijloace bănești neutilizate până la sfârșitul anului 2022 (mii lei)</w:t>
            </w:r>
          </w:p>
        </w:tc>
        <w:tc>
          <w:tcPr>
            <w:tcW w:w="2456" w:type="dxa"/>
            <w:shd w:val="clear" w:color="auto" w:fill="D9E2F3" w:themeFill="accent5" w:themeFillTint="33"/>
            <w:vAlign w:val="center"/>
          </w:tcPr>
          <w:p w14:paraId="1C63A776" w14:textId="77777777" w:rsidR="004614E2" w:rsidRPr="00483DC7" w:rsidRDefault="004614E2" w:rsidP="00427F18">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Soldul de mijloace bănești neutilizate până la sfârșitul anului 2023 (mii lei)</w:t>
            </w:r>
          </w:p>
        </w:tc>
        <w:tc>
          <w:tcPr>
            <w:tcW w:w="1960" w:type="dxa"/>
            <w:shd w:val="clear" w:color="auto" w:fill="D9E2F3" w:themeFill="accent5" w:themeFillTint="33"/>
            <w:vAlign w:val="center"/>
          </w:tcPr>
          <w:p w14:paraId="361C1DD4" w14:textId="2F5D281C" w:rsidR="004614E2" w:rsidRPr="00483DC7" w:rsidRDefault="004614E2" w:rsidP="00E73917">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Creștere/</w:t>
            </w:r>
            <w:r w:rsidR="00E73917">
              <w:rPr>
                <w:rFonts w:ascii="Times New Roman" w:hAnsi="Times New Roman" w:cs="Times New Roman"/>
                <w:b/>
                <w:sz w:val="20"/>
                <w:szCs w:val="20"/>
                <w:lang w:val="ro-MD"/>
              </w:rPr>
              <w:t>d</w:t>
            </w:r>
            <w:r w:rsidRPr="00483DC7">
              <w:rPr>
                <w:rFonts w:ascii="Times New Roman" w:hAnsi="Times New Roman" w:cs="Times New Roman"/>
                <w:b/>
                <w:sz w:val="20"/>
                <w:szCs w:val="20"/>
                <w:lang w:val="ro-MD"/>
              </w:rPr>
              <w:t xml:space="preserve">escreștere </w:t>
            </w:r>
            <w:r w:rsidR="0039134F" w:rsidRPr="00483DC7">
              <w:rPr>
                <w:rFonts w:ascii="Times New Roman" w:hAnsi="Times New Roman" w:cs="Times New Roman"/>
                <w:b/>
                <w:sz w:val="20"/>
                <w:szCs w:val="20"/>
                <w:lang w:val="ro-MD"/>
              </w:rPr>
              <w:t xml:space="preserve"> </w:t>
            </w:r>
            <w:r w:rsidRPr="00483DC7">
              <w:rPr>
                <w:rFonts w:ascii="Times New Roman" w:hAnsi="Times New Roman" w:cs="Times New Roman"/>
                <w:b/>
                <w:sz w:val="20"/>
                <w:szCs w:val="20"/>
                <w:lang w:val="ro-MD"/>
              </w:rPr>
              <w:t>(mii lei)</w:t>
            </w:r>
          </w:p>
        </w:tc>
      </w:tr>
      <w:tr w:rsidR="004614E2" w:rsidRPr="00483DC7" w14:paraId="41C13047" w14:textId="77777777" w:rsidTr="0039134F">
        <w:tc>
          <w:tcPr>
            <w:tcW w:w="549" w:type="dxa"/>
          </w:tcPr>
          <w:p w14:paraId="78DFFEE9"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w:t>
            </w:r>
          </w:p>
        </w:tc>
        <w:tc>
          <w:tcPr>
            <w:tcW w:w="1919" w:type="dxa"/>
          </w:tcPr>
          <w:p w14:paraId="44432B01"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ADMA</w:t>
            </w:r>
          </w:p>
        </w:tc>
        <w:tc>
          <w:tcPr>
            <w:tcW w:w="2463" w:type="dxa"/>
            <w:vAlign w:val="center"/>
          </w:tcPr>
          <w:p w14:paraId="5FD590AA"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42.299,95</w:t>
            </w:r>
          </w:p>
        </w:tc>
        <w:tc>
          <w:tcPr>
            <w:tcW w:w="2456" w:type="dxa"/>
            <w:vAlign w:val="center"/>
          </w:tcPr>
          <w:p w14:paraId="1F1BB8A7"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42.806,10</w:t>
            </w:r>
          </w:p>
        </w:tc>
        <w:tc>
          <w:tcPr>
            <w:tcW w:w="1960" w:type="dxa"/>
          </w:tcPr>
          <w:p w14:paraId="0587B1EB"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506,15</w:t>
            </w:r>
          </w:p>
        </w:tc>
      </w:tr>
      <w:tr w:rsidR="004614E2" w:rsidRPr="00483DC7" w14:paraId="79145500" w14:textId="77777777" w:rsidTr="0039134F">
        <w:tc>
          <w:tcPr>
            <w:tcW w:w="549" w:type="dxa"/>
          </w:tcPr>
          <w:p w14:paraId="2B65FE91"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w:t>
            </w:r>
          </w:p>
        </w:tc>
        <w:tc>
          <w:tcPr>
            <w:tcW w:w="1919" w:type="dxa"/>
          </w:tcPr>
          <w:p w14:paraId="02E3D44D"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OGPAE</w:t>
            </w:r>
          </w:p>
        </w:tc>
        <w:tc>
          <w:tcPr>
            <w:tcW w:w="2463" w:type="dxa"/>
            <w:vAlign w:val="center"/>
          </w:tcPr>
          <w:p w14:paraId="7954365B"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106.361,80</w:t>
            </w:r>
          </w:p>
        </w:tc>
        <w:tc>
          <w:tcPr>
            <w:tcW w:w="2456" w:type="dxa"/>
            <w:vAlign w:val="center"/>
          </w:tcPr>
          <w:p w14:paraId="2EB63D98"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107.191,66</w:t>
            </w:r>
          </w:p>
        </w:tc>
        <w:tc>
          <w:tcPr>
            <w:tcW w:w="1960" w:type="dxa"/>
          </w:tcPr>
          <w:p w14:paraId="2065B66E"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829,86</w:t>
            </w:r>
          </w:p>
        </w:tc>
      </w:tr>
      <w:tr w:rsidR="004614E2" w:rsidRPr="00483DC7" w14:paraId="0EBD1F07" w14:textId="77777777" w:rsidTr="0039134F">
        <w:tc>
          <w:tcPr>
            <w:tcW w:w="549" w:type="dxa"/>
          </w:tcPr>
          <w:p w14:paraId="1C0DE64D"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919" w:type="dxa"/>
          </w:tcPr>
          <w:p w14:paraId="5C48D0D8"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ONDRL</w:t>
            </w:r>
          </w:p>
        </w:tc>
        <w:tc>
          <w:tcPr>
            <w:tcW w:w="2463" w:type="dxa"/>
            <w:vAlign w:val="center"/>
          </w:tcPr>
          <w:p w14:paraId="7080C323"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11.707,88</w:t>
            </w:r>
          </w:p>
        </w:tc>
        <w:tc>
          <w:tcPr>
            <w:tcW w:w="2456" w:type="dxa"/>
            <w:vAlign w:val="center"/>
          </w:tcPr>
          <w:p w14:paraId="16CAF94C"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10.202,67</w:t>
            </w:r>
          </w:p>
        </w:tc>
        <w:tc>
          <w:tcPr>
            <w:tcW w:w="1960" w:type="dxa"/>
          </w:tcPr>
          <w:p w14:paraId="03CA9B86"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-1.505,21</w:t>
            </w:r>
          </w:p>
        </w:tc>
      </w:tr>
      <w:tr w:rsidR="004614E2" w:rsidRPr="00483DC7" w14:paraId="22659B5F" w14:textId="77777777" w:rsidTr="0039134F">
        <w:tc>
          <w:tcPr>
            <w:tcW w:w="549" w:type="dxa"/>
          </w:tcPr>
          <w:p w14:paraId="085BFDA1"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919" w:type="dxa"/>
          </w:tcPr>
          <w:p w14:paraId="4C1DB1CD"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ONIPM</w:t>
            </w:r>
          </w:p>
        </w:tc>
        <w:tc>
          <w:tcPr>
            <w:tcW w:w="2463" w:type="dxa"/>
            <w:vAlign w:val="center"/>
          </w:tcPr>
          <w:p w14:paraId="2A3AD4AC"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4.309,79</w:t>
            </w:r>
          </w:p>
        </w:tc>
        <w:tc>
          <w:tcPr>
            <w:tcW w:w="2456" w:type="dxa"/>
            <w:vAlign w:val="center"/>
          </w:tcPr>
          <w:p w14:paraId="2DFDA41A"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6.711,72</w:t>
            </w:r>
          </w:p>
        </w:tc>
        <w:tc>
          <w:tcPr>
            <w:tcW w:w="1960" w:type="dxa"/>
          </w:tcPr>
          <w:p w14:paraId="768D3636"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2.401,93</w:t>
            </w:r>
          </w:p>
        </w:tc>
      </w:tr>
      <w:tr w:rsidR="004614E2" w:rsidRPr="00483DC7" w14:paraId="52C5F90B" w14:textId="77777777" w:rsidTr="0039134F">
        <w:tc>
          <w:tcPr>
            <w:tcW w:w="549" w:type="dxa"/>
          </w:tcPr>
          <w:p w14:paraId="2F0658C4"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5</w:t>
            </w:r>
          </w:p>
        </w:tc>
        <w:tc>
          <w:tcPr>
            <w:tcW w:w="1919" w:type="dxa"/>
          </w:tcPr>
          <w:p w14:paraId="21881519"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UCIMPA</w:t>
            </w:r>
          </w:p>
        </w:tc>
        <w:tc>
          <w:tcPr>
            <w:tcW w:w="2463" w:type="dxa"/>
            <w:vAlign w:val="center"/>
          </w:tcPr>
          <w:p w14:paraId="7C9E14E7"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7.399,51</w:t>
            </w:r>
          </w:p>
        </w:tc>
        <w:tc>
          <w:tcPr>
            <w:tcW w:w="2456" w:type="dxa"/>
            <w:vAlign w:val="center"/>
          </w:tcPr>
          <w:p w14:paraId="5794E44B"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3.390,07</w:t>
            </w:r>
          </w:p>
        </w:tc>
        <w:tc>
          <w:tcPr>
            <w:tcW w:w="1960" w:type="dxa"/>
          </w:tcPr>
          <w:p w14:paraId="0606ED30"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-4.009,44</w:t>
            </w:r>
          </w:p>
        </w:tc>
      </w:tr>
      <w:tr w:rsidR="004614E2" w:rsidRPr="00483DC7" w14:paraId="41C42A0F" w14:textId="77777777" w:rsidTr="0039134F">
        <w:tc>
          <w:tcPr>
            <w:tcW w:w="549" w:type="dxa"/>
          </w:tcPr>
          <w:p w14:paraId="0FEFF417"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w:t>
            </w:r>
          </w:p>
        </w:tc>
        <w:tc>
          <w:tcPr>
            <w:tcW w:w="1919" w:type="dxa"/>
          </w:tcPr>
          <w:p w14:paraId="0373C8B6"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 DS</w:t>
            </w:r>
          </w:p>
        </w:tc>
        <w:tc>
          <w:tcPr>
            <w:tcW w:w="2463" w:type="dxa"/>
            <w:vAlign w:val="center"/>
          </w:tcPr>
          <w:p w14:paraId="0BE7A3FE"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61.412,17</w:t>
            </w:r>
          </w:p>
        </w:tc>
        <w:tc>
          <w:tcPr>
            <w:tcW w:w="2456" w:type="dxa"/>
            <w:vAlign w:val="center"/>
          </w:tcPr>
          <w:p w14:paraId="508B11C0"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1.172,33</w:t>
            </w:r>
          </w:p>
        </w:tc>
        <w:tc>
          <w:tcPr>
            <w:tcW w:w="1960" w:type="dxa"/>
          </w:tcPr>
          <w:p w14:paraId="0234E1B9"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-60.239,84</w:t>
            </w:r>
          </w:p>
        </w:tc>
      </w:tr>
      <w:tr w:rsidR="004614E2" w:rsidRPr="00483DC7" w14:paraId="700E6864" w14:textId="77777777" w:rsidTr="0039134F">
        <w:tc>
          <w:tcPr>
            <w:tcW w:w="549" w:type="dxa"/>
          </w:tcPr>
          <w:p w14:paraId="1D8E4F9B"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919" w:type="dxa"/>
          </w:tcPr>
          <w:p w14:paraId="7790A2BB"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UCIMPRSVV</w:t>
            </w:r>
          </w:p>
        </w:tc>
        <w:tc>
          <w:tcPr>
            <w:tcW w:w="2463" w:type="dxa"/>
            <w:vAlign w:val="center"/>
          </w:tcPr>
          <w:p w14:paraId="02BFCD55"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209.278,60</w:t>
            </w:r>
          </w:p>
        </w:tc>
        <w:tc>
          <w:tcPr>
            <w:tcW w:w="2456" w:type="dxa"/>
            <w:vAlign w:val="center"/>
          </w:tcPr>
          <w:p w14:paraId="1334F0DA"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29.073,78</w:t>
            </w:r>
          </w:p>
        </w:tc>
        <w:tc>
          <w:tcPr>
            <w:tcW w:w="1960" w:type="dxa"/>
          </w:tcPr>
          <w:p w14:paraId="71088CCC"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-180.204,82</w:t>
            </w:r>
          </w:p>
        </w:tc>
      </w:tr>
      <w:tr w:rsidR="004614E2" w:rsidRPr="00483DC7" w14:paraId="74F8692B" w14:textId="77777777" w:rsidTr="0039134F">
        <w:tc>
          <w:tcPr>
            <w:tcW w:w="549" w:type="dxa"/>
          </w:tcPr>
          <w:p w14:paraId="73C7AEF3"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919" w:type="dxa"/>
          </w:tcPr>
          <w:p w14:paraId="4E8F8C66"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UCIPE</w:t>
            </w:r>
          </w:p>
        </w:tc>
        <w:tc>
          <w:tcPr>
            <w:tcW w:w="2463" w:type="dxa"/>
            <w:vAlign w:val="center"/>
          </w:tcPr>
          <w:p w14:paraId="740A0316"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7.208,38</w:t>
            </w:r>
          </w:p>
        </w:tc>
        <w:tc>
          <w:tcPr>
            <w:tcW w:w="2456" w:type="dxa"/>
            <w:vAlign w:val="center"/>
          </w:tcPr>
          <w:p w14:paraId="3F25619F"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9.456,12</w:t>
            </w:r>
          </w:p>
        </w:tc>
        <w:tc>
          <w:tcPr>
            <w:tcW w:w="1960" w:type="dxa"/>
          </w:tcPr>
          <w:p w14:paraId="181EE9B4"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2.247,74</w:t>
            </w:r>
          </w:p>
        </w:tc>
      </w:tr>
      <w:tr w:rsidR="004614E2" w:rsidRPr="00483DC7" w14:paraId="5B101589" w14:textId="77777777" w:rsidTr="0039134F">
        <w:tc>
          <w:tcPr>
            <w:tcW w:w="549" w:type="dxa"/>
          </w:tcPr>
          <w:p w14:paraId="78E77B19"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9</w:t>
            </w:r>
          </w:p>
        </w:tc>
        <w:tc>
          <w:tcPr>
            <w:tcW w:w="1919" w:type="dxa"/>
          </w:tcPr>
          <w:p w14:paraId="636A5E3F"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UCIP IFAD</w:t>
            </w:r>
          </w:p>
        </w:tc>
        <w:tc>
          <w:tcPr>
            <w:tcW w:w="2463" w:type="dxa"/>
            <w:vAlign w:val="center"/>
          </w:tcPr>
          <w:p w14:paraId="02AE93F2"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42.526,04</w:t>
            </w:r>
          </w:p>
        </w:tc>
        <w:tc>
          <w:tcPr>
            <w:tcW w:w="2456" w:type="dxa"/>
            <w:vAlign w:val="center"/>
          </w:tcPr>
          <w:p w14:paraId="7E6E6475" w14:textId="7E249260" w:rsidR="004614E2" w:rsidRPr="00483DC7" w:rsidRDefault="00521B95"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36.223,50</w:t>
            </w:r>
          </w:p>
        </w:tc>
        <w:tc>
          <w:tcPr>
            <w:tcW w:w="1960" w:type="dxa"/>
          </w:tcPr>
          <w:p w14:paraId="6C10C986" w14:textId="62F46987" w:rsidR="004614E2" w:rsidRPr="00483DC7" w:rsidRDefault="00521B95"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-6.302,54</w:t>
            </w:r>
          </w:p>
        </w:tc>
      </w:tr>
      <w:tr w:rsidR="004614E2" w:rsidRPr="00483DC7" w14:paraId="03D05329" w14:textId="77777777" w:rsidTr="0039134F">
        <w:tc>
          <w:tcPr>
            <w:tcW w:w="549" w:type="dxa"/>
          </w:tcPr>
          <w:p w14:paraId="13170C5A"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10</w:t>
            </w:r>
          </w:p>
        </w:tc>
        <w:tc>
          <w:tcPr>
            <w:tcW w:w="1919" w:type="dxa"/>
          </w:tcPr>
          <w:p w14:paraId="76419B87"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UIPAC</w:t>
            </w:r>
          </w:p>
        </w:tc>
        <w:tc>
          <w:tcPr>
            <w:tcW w:w="2463" w:type="dxa"/>
            <w:vAlign w:val="center"/>
          </w:tcPr>
          <w:p w14:paraId="4DF88B25"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7.590,78</w:t>
            </w:r>
          </w:p>
        </w:tc>
        <w:tc>
          <w:tcPr>
            <w:tcW w:w="2456" w:type="dxa"/>
            <w:vAlign w:val="center"/>
          </w:tcPr>
          <w:p w14:paraId="52FEE315"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7.976,53</w:t>
            </w:r>
          </w:p>
        </w:tc>
        <w:tc>
          <w:tcPr>
            <w:tcW w:w="1960" w:type="dxa"/>
          </w:tcPr>
          <w:p w14:paraId="175A71E6"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385,75</w:t>
            </w:r>
          </w:p>
        </w:tc>
      </w:tr>
      <w:tr w:rsidR="004614E2" w:rsidRPr="00483DC7" w14:paraId="1CBB8CB9" w14:textId="77777777" w:rsidTr="0039134F">
        <w:tc>
          <w:tcPr>
            <w:tcW w:w="549" w:type="dxa"/>
          </w:tcPr>
          <w:p w14:paraId="6A12EDC3"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11</w:t>
            </w:r>
          </w:p>
        </w:tc>
        <w:tc>
          <w:tcPr>
            <w:tcW w:w="1919" w:type="dxa"/>
          </w:tcPr>
          <w:p w14:paraId="73382F93"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UIPCLPV II</w:t>
            </w:r>
          </w:p>
        </w:tc>
        <w:tc>
          <w:tcPr>
            <w:tcW w:w="2463" w:type="dxa"/>
            <w:vAlign w:val="center"/>
          </w:tcPr>
          <w:p w14:paraId="4D85FD28"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1.865,79</w:t>
            </w:r>
          </w:p>
        </w:tc>
        <w:tc>
          <w:tcPr>
            <w:tcW w:w="2456" w:type="dxa"/>
            <w:vAlign w:val="center"/>
          </w:tcPr>
          <w:p w14:paraId="284DD0F5"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536,79</w:t>
            </w:r>
          </w:p>
        </w:tc>
        <w:tc>
          <w:tcPr>
            <w:tcW w:w="1960" w:type="dxa"/>
          </w:tcPr>
          <w:p w14:paraId="4C561049"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-1.329,00</w:t>
            </w:r>
          </w:p>
        </w:tc>
      </w:tr>
      <w:tr w:rsidR="004614E2" w:rsidRPr="00483DC7" w14:paraId="4528130D" w14:textId="77777777" w:rsidTr="0039134F">
        <w:tc>
          <w:tcPr>
            <w:tcW w:w="549" w:type="dxa"/>
          </w:tcPr>
          <w:p w14:paraId="621264A1"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12</w:t>
            </w:r>
          </w:p>
        </w:tc>
        <w:tc>
          <w:tcPr>
            <w:tcW w:w="1919" w:type="dxa"/>
          </w:tcPr>
          <w:p w14:paraId="76AB6301" w14:textId="77777777" w:rsidR="004614E2" w:rsidRPr="00483DC7" w:rsidRDefault="004614E2" w:rsidP="00427F18">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UIPCPC</w:t>
            </w:r>
          </w:p>
        </w:tc>
        <w:tc>
          <w:tcPr>
            <w:tcW w:w="2463" w:type="dxa"/>
            <w:vAlign w:val="center"/>
          </w:tcPr>
          <w:p w14:paraId="28021A7F"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1.630,94</w:t>
            </w:r>
          </w:p>
        </w:tc>
        <w:tc>
          <w:tcPr>
            <w:tcW w:w="2456" w:type="dxa"/>
            <w:vAlign w:val="center"/>
          </w:tcPr>
          <w:p w14:paraId="73BF3ACC"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514,95</w:t>
            </w:r>
          </w:p>
        </w:tc>
        <w:tc>
          <w:tcPr>
            <w:tcW w:w="1960" w:type="dxa"/>
          </w:tcPr>
          <w:p w14:paraId="0A3F9AF3" w14:textId="77777777" w:rsidR="004614E2" w:rsidRPr="00483DC7" w:rsidRDefault="004614E2" w:rsidP="00427F18">
            <w:pPr>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-1.115,99</w:t>
            </w:r>
          </w:p>
        </w:tc>
      </w:tr>
      <w:tr w:rsidR="004614E2" w:rsidRPr="00483DC7" w14:paraId="76C5C690" w14:textId="77777777" w:rsidTr="0039134F">
        <w:tc>
          <w:tcPr>
            <w:tcW w:w="2468" w:type="dxa"/>
            <w:gridSpan w:val="2"/>
            <w:shd w:val="clear" w:color="auto" w:fill="FFF2CC" w:themeFill="accent4" w:themeFillTint="33"/>
          </w:tcPr>
          <w:p w14:paraId="2D6FAB19" w14:textId="77777777" w:rsidR="004614E2" w:rsidRPr="00483DC7" w:rsidRDefault="004614E2" w:rsidP="00427F18">
            <w:pPr>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TOTAL</w:t>
            </w:r>
          </w:p>
        </w:tc>
        <w:tc>
          <w:tcPr>
            <w:tcW w:w="2463" w:type="dxa"/>
            <w:shd w:val="clear" w:color="auto" w:fill="FFF2CC" w:themeFill="accent4" w:themeFillTint="33"/>
          </w:tcPr>
          <w:p w14:paraId="30039B99" w14:textId="77777777" w:rsidR="004614E2" w:rsidRPr="00483DC7" w:rsidRDefault="004614E2" w:rsidP="00427F18">
            <w:pPr>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503.591,63</w:t>
            </w:r>
          </w:p>
        </w:tc>
        <w:tc>
          <w:tcPr>
            <w:tcW w:w="2456" w:type="dxa"/>
            <w:shd w:val="clear" w:color="auto" w:fill="FFF2CC" w:themeFill="accent4" w:themeFillTint="33"/>
          </w:tcPr>
          <w:p w14:paraId="15751B4B" w14:textId="6A115B08" w:rsidR="004614E2" w:rsidRPr="00483DC7" w:rsidRDefault="00521B95" w:rsidP="00427F18">
            <w:pPr>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255.256,22</w:t>
            </w:r>
          </w:p>
        </w:tc>
        <w:tc>
          <w:tcPr>
            <w:tcW w:w="1960" w:type="dxa"/>
            <w:shd w:val="clear" w:color="auto" w:fill="FFF2CC" w:themeFill="accent4" w:themeFillTint="33"/>
          </w:tcPr>
          <w:p w14:paraId="48A4D680" w14:textId="53A90635" w:rsidR="004614E2" w:rsidRPr="00483DC7" w:rsidRDefault="008346BE" w:rsidP="00867F79">
            <w:pPr>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w:t>
            </w:r>
            <w:r w:rsidR="00867F79" w:rsidRPr="00483DC7">
              <w:rPr>
                <w:rFonts w:ascii="Times New Roman" w:hAnsi="Times New Roman" w:cs="Times New Roman"/>
                <w:b/>
                <w:sz w:val="20"/>
                <w:szCs w:val="20"/>
                <w:lang w:val="ro-MD"/>
              </w:rPr>
              <w:t>248.335,41</w:t>
            </w:r>
          </w:p>
        </w:tc>
      </w:tr>
      <w:tr w:rsidR="004614E2" w:rsidRPr="00483DC7" w14:paraId="1347BFEF" w14:textId="77777777" w:rsidTr="0039134F">
        <w:trPr>
          <w:trHeight w:val="3627"/>
        </w:trPr>
        <w:tc>
          <w:tcPr>
            <w:tcW w:w="9347" w:type="dxa"/>
            <w:gridSpan w:val="5"/>
          </w:tcPr>
          <w:p w14:paraId="1C5F68E4" w14:textId="77777777" w:rsidR="004614E2" w:rsidRPr="00483DC7" w:rsidRDefault="004614E2" w:rsidP="00427F18">
            <w:pPr>
              <w:jc w:val="both"/>
              <w:rPr>
                <w:rFonts w:ascii="Times New Roman" w:hAnsi="Times New Roman" w:cs="Times New Roman"/>
                <w:b/>
                <w:sz w:val="20"/>
                <w:szCs w:val="20"/>
                <w:lang w:val="ro-MD"/>
              </w:rPr>
            </w:pPr>
            <w:r w:rsidRPr="00483DC7">
              <w:rPr>
                <w:rFonts w:ascii="Times New Roman" w:hAnsi="Times New Roman" w:cs="Times New Roman"/>
                <w:noProof/>
                <w:sz w:val="20"/>
                <w:szCs w:val="20"/>
              </w:rPr>
              <w:drawing>
                <wp:inline distT="0" distB="0" distL="0" distR="0" wp14:anchorId="7D0529EE" wp14:editId="52A68F79">
                  <wp:extent cx="6002655" cy="229362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614E2" w:rsidRPr="00483DC7" w14:paraId="4B212CB9" w14:textId="77777777" w:rsidTr="0039134F">
        <w:trPr>
          <w:trHeight w:val="327"/>
        </w:trPr>
        <w:tc>
          <w:tcPr>
            <w:tcW w:w="9347" w:type="dxa"/>
            <w:gridSpan w:val="5"/>
            <w:tcBorders>
              <w:left w:val="single" w:sz="4" w:space="0" w:color="FFFFFF"/>
              <w:bottom w:val="single" w:sz="4" w:space="0" w:color="FFFFFF"/>
              <w:right w:val="single" w:sz="4" w:space="0" w:color="FFFFFF"/>
            </w:tcBorders>
          </w:tcPr>
          <w:p w14:paraId="429AE3C7" w14:textId="77777777" w:rsidR="004614E2" w:rsidRPr="00483DC7" w:rsidRDefault="004614E2" w:rsidP="00427F18">
            <w:pPr>
              <w:jc w:val="center"/>
              <w:rPr>
                <w:rFonts w:ascii="Times New Roman" w:hAnsi="Times New Roman" w:cs="Times New Roman"/>
                <w:b/>
                <w:sz w:val="20"/>
                <w:szCs w:val="20"/>
                <w:lang w:val="ro-MD"/>
              </w:rPr>
            </w:pPr>
            <w:r w:rsidRPr="00483DC7">
              <w:rPr>
                <w:rFonts w:ascii="Times New Roman" w:hAnsi="Times New Roman" w:cs="Times New Roman"/>
                <w:b/>
                <w:i/>
                <w:sz w:val="20"/>
                <w:szCs w:val="20"/>
                <w:lang w:val="ro-MD"/>
              </w:rPr>
              <w:t>Sursa:</w:t>
            </w:r>
            <w:r w:rsidRPr="00483DC7">
              <w:rPr>
                <w:rFonts w:ascii="Times New Roman" w:hAnsi="Times New Roman" w:cs="Times New Roman"/>
                <w:b/>
                <w:sz w:val="20"/>
                <w:szCs w:val="20"/>
                <w:lang w:val="ro-MD"/>
              </w:rPr>
              <w:t xml:space="preserve"> </w:t>
            </w:r>
            <w:r w:rsidRPr="00483DC7">
              <w:rPr>
                <w:rFonts w:ascii="Times New Roman" w:hAnsi="Times New Roman" w:cs="Times New Roman"/>
                <w:i/>
                <w:sz w:val="20"/>
                <w:szCs w:val="20"/>
                <w:lang w:val="ro-MD"/>
              </w:rPr>
              <w:t>Rapoartele financiare ale UIPFAE pentru anii de gestiune 2022-2023</w:t>
            </w:r>
          </w:p>
        </w:tc>
      </w:tr>
    </w:tbl>
    <w:p w14:paraId="50DDF739" w14:textId="5E8EDD7E" w:rsidR="00F10BBD" w:rsidRDefault="0039134F" w:rsidP="0039134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Este de remarcat faptul că, spre deosebire de OGPAE a căror </w:t>
      </w:r>
      <w:r w:rsidR="00E57AFD" w:rsidRPr="00483DC7">
        <w:rPr>
          <w:rFonts w:ascii="Times New Roman" w:hAnsi="Times New Roman" w:cs="Times New Roman"/>
          <w:sz w:val="24"/>
          <w:szCs w:val="24"/>
          <w:lang w:val="ro-MD"/>
        </w:rPr>
        <w:t xml:space="preserve">venituri </w:t>
      </w:r>
      <w:r w:rsidRPr="00483DC7">
        <w:rPr>
          <w:rFonts w:ascii="Times New Roman" w:hAnsi="Times New Roman" w:cs="Times New Roman"/>
          <w:sz w:val="24"/>
          <w:szCs w:val="24"/>
          <w:lang w:val="ro-MD"/>
        </w:rPr>
        <w:t>reprezintă preponderent rezervele de mijloace bănești</w:t>
      </w:r>
      <w:r w:rsidRPr="00483DC7">
        <w:rPr>
          <w:rStyle w:val="FootnoteReference"/>
          <w:rFonts w:ascii="Times New Roman" w:hAnsi="Times New Roman" w:cs="Times New Roman"/>
          <w:sz w:val="24"/>
          <w:szCs w:val="24"/>
          <w:lang w:val="ro-MD"/>
        </w:rPr>
        <w:footnoteReference w:id="58"/>
      </w:r>
      <w:r w:rsidRPr="00483DC7">
        <w:rPr>
          <w:rFonts w:ascii="Times New Roman" w:hAnsi="Times New Roman" w:cs="Times New Roman"/>
          <w:sz w:val="24"/>
          <w:szCs w:val="24"/>
          <w:lang w:val="ro-MD"/>
        </w:rPr>
        <w:t xml:space="preserve">, create </w:t>
      </w:r>
      <w:r w:rsidR="00E57AFD" w:rsidRPr="00483DC7">
        <w:rPr>
          <w:rFonts w:ascii="Times New Roman" w:hAnsi="Times New Roman" w:cs="Times New Roman"/>
          <w:sz w:val="24"/>
          <w:szCs w:val="24"/>
          <w:lang w:val="ro-MD"/>
        </w:rPr>
        <w:t xml:space="preserve">din comisioanele (marja de dobândă) percepute de la băncile private partenere </w:t>
      </w:r>
      <w:r w:rsidRPr="00483DC7">
        <w:rPr>
          <w:rFonts w:ascii="Times New Roman" w:hAnsi="Times New Roman" w:cs="Times New Roman"/>
          <w:sz w:val="24"/>
          <w:szCs w:val="24"/>
          <w:lang w:val="ro-MD"/>
        </w:rPr>
        <w:t xml:space="preserve">pentru acoperirea </w:t>
      </w:r>
      <w:r w:rsidR="00E57AFD" w:rsidRPr="00483DC7">
        <w:rPr>
          <w:rFonts w:ascii="Times New Roman" w:hAnsi="Times New Roman" w:cs="Times New Roman"/>
          <w:sz w:val="24"/>
          <w:szCs w:val="24"/>
          <w:lang w:val="ro-MD"/>
        </w:rPr>
        <w:t xml:space="preserve">cheltuielilor operaționale și a </w:t>
      </w:r>
      <w:r w:rsidRPr="00483DC7">
        <w:rPr>
          <w:rFonts w:ascii="Times New Roman" w:hAnsi="Times New Roman" w:cs="Times New Roman"/>
          <w:sz w:val="24"/>
          <w:szCs w:val="24"/>
          <w:lang w:val="ro-MD"/>
        </w:rPr>
        <w:t xml:space="preserve">riscurilor legate de operațiunile de recreditare din cadrul a 19 </w:t>
      </w:r>
      <w:r w:rsidR="00E57AFD" w:rsidRPr="00483DC7">
        <w:rPr>
          <w:rFonts w:ascii="Times New Roman" w:hAnsi="Times New Roman" w:cs="Times New Roman"/>
          <w:sz w:val="24"/>
          <w:szCs w:val="24"/>
          <w:lang w:val="ro-MD"/>
        </w:rPr>
        <w:t xml:space="preserve">linii de credit </w:t>
      </w:r>
      <w:r w:rsidRPr="00483DC7">
        <w:rPr>
          <w:rFonts w:ascii="Times New Roman" w:hAnsi="Times New Roman" w:cs="Times New Roman"/>
          <w:sz w:val="24"/>
          <w:szCs w:val="24"/>
          <w:lang w:val="ro-MD"/>
        </w:rPr>
        <w:t>finanțate din surse externe, în celelalte 11 cazuri</w:t>
      </w:r>
      <w:r w:rsidR="00E57AFD" w:rsidRPr="00483DC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analizate, soldurile mijloacelor bănești neutilizate s-au format</w:t>
      </w:r>
      <w:r w:rsidR="00E73917">
        <w:rPr>
          <w:rFonts w:ascii="Times New Roman" w:hAnsi="Times New Roman" w:cs="Times New Roman"/>
          <w:sz w:val="24"/>
          <w:szCs w:val="24"/>
          <w:lang w:val="ro-MD"/>
        </w:rPr>
        <w:t xml:space="preserve"> ca</w:t>
      </w:r>
      <w:r w:rsidRPr="00483DC7">
        <w:rPr>
          <w:rFonts w:ascii="Times New Roman" w:hAnsi="Times New Roman" w:cs="Times New Roman"/>
          <w:sz w:val="24"/>
          <w:szCs w:val="24"/>
          <w:lang w:val="ro-MD"/>
        </w:rPr>
        <w:t xml:space="preserve"> urmare a estimării incorecte a limitelor de cheltuieli și/sau a finanțării anticipate de către creditorii internaționali a proiectelor de asistență externă aflate în derulare.</w:t>
      </w:r>
      <w:r w:rsidR="00D14A1B" w:rsidRPr="00483DC7">
        <w:rPr>
          <w:rFonts w:ascii="Times New Roman" w:hAnsi="Times New Roman" w:cs="Times New Roman"/>
          <w:sz w:val="24"/>
          <w:szCs w:val="24"/>
          <w:lang w:val="ro-MD"/>
        </w:rPr>
        <w:t xml:space="preserve"> </w:t>
      </w:r>
    </w:p>
    <w:p w14:paraId="52BD9078" w14:textId="22807652" w:rsidR="0039134F" w:rsidRPr="00483DC7" w:rsidRDefault="00D14A1B" w:rsidP="0039134F">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Conform explicațiilor unor UIPFAE</w:t>
      </w:r>
      <w:r w:rsidR="001711D1" w:rsidRPr="00483DC7">
        <w:rPr>
          <w:rStyle w:val="FootnoteReference"/>
          <w:rFonts w:ascii="Times New Roman" w:hAnsi="Times New Roman" w:cs="Times New Roman"/>
          <w:sz w:val="24"/>
          <w:szCs w:val="24"/>
          <w:lang w:val="ro-MD"/>
        </w:rPr>
        <w:footnoteReference w:id="59"/>
      </w:r>
      <w:r w:rsidRPr="00483DC7">
        <w:rPr>
          <w:rFonts w:ascii="Times New Roman" w:hAnsi="Times New Roman" w:cs="Times New Roman"/>
          <w:sz w:val="24"/>
          <w:szCs w:val="24"/>
          <w:lang w:val="ro-MD"/>
        </w:rPr>
        <w:t>, estimarea incorectă a capacităților și neîndeplinirea planurilor de achiziții</w:t>
      </w:r>
      <w:r w:rsidR="001711D1" w:rsidRPr="00483DC7">
        <w:rPr>
          <w:rFonts w:ascii="Times New Roman" w:hAnsi="Times New Roman" w:cs="Times New Roman"/>
          <w:sz w:val="24"/>
          <w:szCs w:val="24"/>
          <w:lang w:val="ro-MD"/>
        </w:rPr>
        <w:t xml:space="preserve"> a fost generată inclusiv de factori precum: pandemia SARS Covid-19 și războiul de agresiune a</w:t>
      </w:r>
      <w:r w:rsidR="00E73917">
        <w:rPr>
          <w:rFonts w:ascii="Times New Roman" w:hAnsi="Times New Roman" w:cs="Times New Roman"/>
          <w:sz w:val="24"/>
          <w:szCs w:val="24"/>
          <w:lang w:val="ro-MD"/>
        </w:rPr>
        <w:t>l</w:t>
      </w:r>
      <w:r w:rsidR="001711D1" w:rsidRPr="00483DC7">
        <w:rPr>
          <w:rFonts w:ascii="Times New Roman" w:hAnsi="Times New Roman" w:cs="Times New Roman"/>
          <w:sz w:val="24"/>
          <w:szCs w:val="24"/>
          <w:lang w:val="ro-MD"/>
        </w:rPr>
        <w:t xml:space="preserve"> Federației Ruse împotriva Ucrainei, fapt ce a afectat lanțurile logistice naționale și internaționale. </w:t>
      </w:r>
    </w:p>
    <w:p w14:paraId="3F841C97" w14:textId="63D2B5B0" w:rsidR="00956FDD" w:rsidRPr="00483DC7" w:rsidRDefault="00956FDD" w:rsidP="004614E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lastRenderedPageBreak/>
        <w:t>Totodată, auditul denotă că în unele cazuri</w:t>
      </w:r>
      <w:r w:rsidR="001342F2" w:rsidRPr="00483DC7">
        <w:rPr>
          <w:rStyle w:val="FootnoteReference"/>
          <w:rFonts w:ascii="Times New Roman" w:hAnsi="Times New Roman" w:cs="Times New Roman"/>
          <w:sz w:val="24"/>
          <w:szCs w:val="24"/>
          <w:lang w:val="ro-MD"/>
        </w:rPr>
        <w:footnoteReference w:id="60"/>
      </w:r>
      <w:r w:rsidRPr="00483DC7">
        <w:rPr>
          <w:rFonts w:ascii="Times New Roman" w:hAnsi="Times New Roman" w:cs="Times New Roman"/>
          <w:sz w:val="24"/>
          <w:szCs w:val="24"/>
          <w:lang w:val="ro-MD"/>
        </w:rPr>
        <w:t xml:space="preserve"> mijloacele bănești debursate de către donatori reprezintă granturi și sunt destinate perioadei următoare, respectiv soldul nu are risc</w:t>
      </w:r>
      <w:r w:rsidR="001342F2" w:rsidRPr="00483DC7">
        <w:rPr>
          <w:rFonts w:ascii="Times New Roman" w:hAnsi="Times New Roman" w:cs="Times New Roman"/>
          <w:sz w:val="24"/>
          <w:szCs w:val="24"/>
          <w:lang w:val="ro-MD"/>
        </w:rPr>
        <w:t>uri specifice unui împrumut, dar în același timp este vulnerabil</w:t>
      </w:r>
      <w:r w:rsidR="00E73917">
        <w:rPr>
          <w:rFonts w:ascii="Times New Roman" w:hAnsi="Times New Roman" w:cs="Times New Roman"/>
          <w:sz w:val="24"/>
          <w:szCs w:val="24"/>
          <w:lang w:val="ro-MD"/>
        </w:rPr>
        <w:t xml:space="preserve"> la</w:t>
      </w:r>
      <w:r w:rsidR="001342F2" w:rsidRPr="00483DC7">
        <w:rPr>
          <w:rFonts w:ascii="Times New Roman" w:hAnsi="Times New Roman" w:cs="Times New Roman"/>
          <w:sz w:val="24"/>
          <w:szCs w:val="24"/>
          <w:lang w:val="ro-MD"/>
        </w:rPr>
        <w:t xml:space="preserve"> fenomenul inflaționist. </w:t>
      </w:r>
      <w:r w:rsidRPr="00483DC7">
        <w:rPr>
          <w:rFonts w:ascii="Times New Roman" w:hAnsi="Times New Roman" w:cs="Times New Roman"/>
          <w:sz w:val="24"/>
          <w:szCs w:val="24"/>
          <w:lang w:val="ro-MD"/>
        </w:rPr>
        <w:t xml:space="preserve"> </w:t>
      </w:r>
    </w:p>
    <w:p w14:paraId="4D5C2E93" w14:textId="4DD5CEB4" w:rsidR="004614E2" w:rsidRPr="00483DC7" w:rsidRDefault="004614E2" w:rsidP="004614E2">
      <w:pPr>
        <w:spacing w:after="0" w:line="276" w:lineRule="auto"/>
        <w:ind w:firstLine="709"/>
        <w:jc w:val="both"/>
        <w:rPr>
          <w:b/>
          <w:lang w:val="ro-MD"/>
        </w:rPr>
      </w:pPr>
      <w:r w:rsidRPr="00483DC7">
        <w:rPr>
          <w:rFonts w:ascii="Times New Roman" w:hAnsi="Times New Roman" w:cs="Times New Roman"/>
          <w:sz w:val="24"/>
          <w:szCs w:val="24"/>
          <w:lang w:val="ro-MD"/>
        </w:rPr>
        <w:t>În opinia auditului, menținerea unui nivel adecvat de lichidități în cadrul UIPFAE este esențială pentru asigurarea funcționării eficiente și stabilității financiare a instituției publice. În același timp, păstrarea unui exces de lichidități pe conturile UIPFAE, finanțate din împrumuturile externe, generează o serie de riscuri care afectează eficiența și sustenabilitatea procesului de gestionare a resurselor alocate pe termen mediu și lung.</w:t>
      </w:r>
    </w:p>
    <w:p w14:paraId="64739537" w14:textId="1EC987FF" w:rsidR="00427F18" w:rsidRPr="00483DC7" w:rsidRDefault="00427F18" w:rsidP="00427F18">
      <w:pPr>
        <w:spacing w:before="240"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4.2.1.2. Managementul resurselor umane al UIPFAE se efectuează în lipsa unor reguli și proceduri uniformizate, iar activitățile de control, menite să asigure optimizarea cheltuielilor aferente retribuției muncii, în unele cazuri au fost ineficiente.</w:t>
      </w:r>
    </w:p>
    <w:p w14:paraId="41305AB0" w14:textId="78FE657D" w:rsidR="00427F18" w:rsidRPr="00483DC7" w:rsidRDefault="00427F18" w:rsidP="00427F1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Managementul resurselor umane reprezintă totalitatea proceselor formale concepute pentru gestionarea personalului într-o </w:t>
      </w:r>
      <w:r w:rsidR="0017283E" w:rsidRPr="00483DC7">
        <w:rPr>
          <w:rFonts w:ascii="Times New Roman" w:hAnsi="Times New Roman" w:cs="Times New Roman"/>
          <w:sz w:val="24"/>
          <w:szCs w:val="24"/>
          <w:lang w:val="ro-MD"/>
        </w:rPr>
        <w:t>instituție</w:t>
      </w:r>
      <w:r w:rsidRPr="00483DC7">
        <w:rPr>
          <w:rFonts w:ascii="Times New Roman" w:hAnsi="Times New Roman" w:cs="Times New Roman"/>
          <w:sz w:val="24"/>
          <w:szCs w:val="24"/>
          <w:lang w:val="ro-MD"/>
        </w:rPr>
        <w:t>, cu scopul de a maximiza productivitatea și angajamentul în rândul angajaților. Un management performant al resurselor umane presupune: i) atragerea și alegerea celor mai potriviți candidați pentru posturile disponibile; ii) dezvoltarea și formarea profesională a angajaților; iii) implementarea unor sisteme eficiente de motivare și satisfacție a personalului; iv) crearea unor relații de muncă pozitive și prietenoase în cadrul organizației; v) dezvoltarea unor mecanisme eficiente de recunoaștere și remunerare a eforturilor angajaților, depuse în asigurarea performanței colective și</w:t>
      </w:r>
      <w:r w:rsidR="00E73917">
        <w:rPr>
          <w:rFonts w:ascii="Times New Roman" w:hAnsi="Times New Roman" w:cs="Times New Roman"/>
          <w:sz w:val="24"/>
          <w:szCs w:val="24"/>
          <w:lang w:val="ro-MD"/>
        </w:rPr>
        <w:t xml:space="preserve"> a</w:t>
      </w:r>
      <w:r w:rsidRPr="00483DC7">
        <w:rPr>
          <w:rFonts w:ascii="Times New Roman" w:hAnsi="Times New Roman" w:cs="Times New Roman"/>
          <w:sz w:val="24"/>
          <w:szCs w:val="24"/>
          <w:lang w:val="ro-MD"/>
        </w:rPr>
        <w:t xml:space="preserve"> performanței individuale la locul de muncă etc.</w:t>
      </w:r>
    </w:p>
    <w:p w14:paraId="7713E781" w14:textId="41D7ABDC" w:rsidR="00427F18" w:rsidRPr="00483DC7" w:rsidRDefault="00427F18" w:rsidP="00427F1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Totodată, o condiție de bază a partenerilor externi de dezvoltare față de UIPFAE, enunțată în Acordurile de finanțare, constă în </w:t>
      </w:r>
      <w:r w:rsidR="005155E3">
        <w:rPr>
          <w:rFonts w:ascii="Times New Roman" w:hAnsi="Times New Roman" w:cs="Times New Roman"/>
          <w:sz w:val="24"/>
          <w:szCs w:val="24"/>
          <w:lang w:val="ro-MD"/>
        </w:rPr>
        <w:t xml:space="preserve">dotarea și </w:t>
      </w:r>
      <w:r w:rsidRPr="00483DC7">
        <w:rPr>
          <w:rFonts w:ascii="Times New Roman" w:hAnsi="Times New Roman" w:cs="Times New Roman"/>
          <w:sz w:val="24"/>
          <w:szCs w:val="24"/>
          <w:lang w:val="ro-MD"/>
        </w:rPr>
        <w:t xml:space="preserve">menținerea unui număr suficient de personal calificat și cu experiență, cu un standard ridicat de integritate morală și etică, pentru a gestiona punerea în aplicare a Proiectelor/Programelor de asistență externă. </w:t>
      </w:r>
    </w:p>
    <w:p w14:paraId="51A52A56" w14:textId="76EEBD53" w:rsidR="00427F18" w:rsidRPr="00483DC7" w:rsidRDefault="00427F18" w:rsidP="00427F1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Potrivit prevederilor cadrului normativ</w:t>
      </w:r>
      <w:r w:rsidRPr="00483DC7">
        <w:rPr>
          <w:rStyle w:val="FootnoteReference"/>
          <w:rFonts w:ascii="Times New Roman" w:hAnsi="Times New Roman" w:cs="Times New Roman"/>
          <w:sz w:val="24"/>
          <w:szCs w:val="24"/>
          <w:lang w:val="ro-MD"/>
        </w:rPr>
        <w:footnoteReference w:id="61"/>
      </w:r>
      <w:r w:rsidRPr="00483DC7">
        <w:rPr>
          <w:rFonts w:ascii="Times New Roman" w:hAnsi="Times New Roman" w:cs="Times New Roman"/>
          <w:sz w:val="24"/>
          <w:szCs w:val="24"/>
          <w:lang w:val="ro-MD"/>
        </w:rPr>
        <w:t xml:space="preserve">, în funcție de specificul activității și condițiile economice concrete, unitățile cu autonomie financiară aplică, pentru organizarea salarizării, sistemul tarifar și/sau sistemele netarifare de salarizare. Formele și condițiile de retribuție a muncii, precum și mărimea salariilor în cadrul unității se stabilesc prin negocieri colective sau, după caz, individuale între angajator și salariați </w:t>
      </w:r>
      <w:r w:rsidR="00E73917">
        <w:rPr>
          <w:rFonts w:ascii="Times New Roman" w:hAnsi="Times New Roman" w:cs="Times New Roman"/>
          <w:sz w:val="24"/>
          <w:szCs w:val="24"/>
          <w:lang w:val="ro-MD"/>
        </w:rPr>
        <w:t>ori</w:t>
      </w:r>
      <w:r w:rsidRPr="00483DC7">
        <w:rPr>
          <w:rFonts w:ascii="Times New Roman" w:hAnsi="Times New Roman" w:cs="Times New Roman"/>
          <w:sz w:val="24"/>
          <w:szCs w:val="24"/>
          <w:lang w:val="ro-MD"/>
        </w:rPr>
        <w:t xml:space="preserve"> reprezentanții acestora, în funcție de posibilitățile financiare ale angajatorilor, și se </w:t>
      </w:r>
      <w:r w:rsidR="00E73917">
        <w:rPr>
          <w:rFonts w:ascii="Times New Roman" w:hAnsi="Times New Roman" w:cs="Times New Roman"/>
          <w:sz w:val="24"/>
          <w:szCs w:val="24"/>
          <w:lang w:val="ro-MD"/>
        </w:rPr>
        <w:t>consemnează</w:t>
      </w:r>
      <w:r w:rsidRPr="00483DC7">
        <w:rPr>
          <w:rFonts w:ascii="Times New Roman" w:hAnsi="Times New Roman" w:cs="Times New Roman"/>
          <w:sz w:val="24"/>
          <w:szCs w:val="24"/>
          <w:lang w:val="ro-MD"/>
        </w:rPr>
        <w:t xml:space="preserve"> în contractele colective și în cele individuale de muncă. </w:t>
      </w:r>
    </w:p>
    <w:p w14:paraId="7D7AEF80" w14:textId="77777777" w:rsidR="005155E3" w:rsidRDefault="00427F18" w:rsidP="00064950">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lipsa unor reglementări exhaustive în actele normative, armonizarea procedurilor de stabilire a modului de remunerare a personalului UIPFAE, la nivel de instituție publică, este asigurată de către fondator/Minister, OCS și/sau </w:t>
      </w:r>
      <w:r w:rsidR="005155E3">
        <w:rPr>
          <w:rFonts w:ascii="Times New Roman" w:hAnsi="Times New Roman" w:cs="Times New Roman"/>
          <w:sz w:val="24"/>
          <w:szCs w:val="24"/>
          <w:lang w:val="ro-MD"/>
        </w:rPr>
        <w:t>D</w:t>
      </w:r>
      <w:r w:rsidRPr="00483DC7">
        <w:rPr>
          <w:rFonts w:ascii="Times New Roman" w:hAnsi="Times New Roman" w:cs="Times New Roman"/>
          <w:sz w:val="24"/>
          <w:szCs w:val="24"/>
          <w:lang w:val="ro-MD"/>
        </w:rPr>
        <w:t xml:space="preserve">irector. </w:t>
      </w:r>
    </w:p>
    <w:p w14:paraId="6CF51088" w14:textId="17F946C2" w:rsidR="00683D84" w:rsidRDefault="00427F18" w:rsidP="00CC7054">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Astfel, în perioada auditată, efectivul limită a personalului încadrat în UIPFAE</w:t>
      </w:r>
      <w:r w:rsidR="005155E3">
        <w:rPr>
          <w:rFonts w:ascii="Times New Roman" w:hAnsi="Times New Roman" w:cs="Times New Roman"/>
          <w:sz w:val="24"/>
          <w:szCs w:val="24"/>
          <w:lang w:val="ro-MD"/>
        </w:rPr>
        <w:t xml:space="preserve"> a fost aprobat</w:t>
      </w:r>
      <w:r w:rsidRPr="00483DC7">
        <w:rPr>
          <w:rFonts w:ascii="Times New Roman" w:hAnsi="Times New Roman" w:cs="Times New Roman"/>
          <w:sz w:val="24"/>
          <w:szCs w:val="24"/>
          <w:lang w:val="ro-MD"/>
        </w:rPr>
        <w:t>: a) în 5 cazuri de către Minister</w:t>
      </w:r>
      <w:r w:rsidRPr="00483DC7">
        <w:rPr>
          <w:rStyle w:val="FootnoteReference"/>
          <w:rFonts w:ascii="Times New Roman" w:hAnsi="Times New Roman" w:cs="Times New Roman"/>
          <w:sz w:val="24"/>
          <w:szCs w:val="24"/>
          <w:lang w:val="ro-MD"/>
        </w:rPr>
        <w:footnoteReference w:id="62"/>
      </w:r>
      <w:r w:rsidRPr="00483DC7">
        <w:rPr>
          <w:rFonts w:ascii="Times New Roman" w:hAnsi="Times New Roman" w:cs="Times New Roman"/>
          <w:sz w:val="24"/>
          <w:szCs w:val="24"/>
          <w:lang w:val="ro-MD"/>
        </w:rPr>
        <w:t xml:space="preserve">, b) în alte </w:t>
      </w:r>
      <w:r w:rsidR="0017283E" w:rsidRPr="00483DC7">
        <w:rPr>
          <w:rFonts w:ascii="Times New Roman" w:hAnsi="Times New Roman" w:cs="Times New Roman"/>
          <w:sz w:val="24"/>
          <w:szCs w:val="24"/>
          <w:lang w:val="ro-MD"/>
        </w:rPr>
        <w:t>4</w:t>
      </w:r>
      <w:r w:rsidRPr="00483DC7">
        <w:rPr>
          <w:rFonts w:ascii="Times New Roman" w:hAnsi="Times New Roman" w:cs="Times New Roman"/>
          <w:sz w:val="24"/>
          <w:szCs w:val="24"/>
          <w:lang w:val="ro-MD"/>
        </w:rPr>
        <w:t xml:space="preserve"> cazuri de către directorul instituției</w:t>
      </w:r>
      <w:r w:rsidRPr="00483DC7">
        <w:rPr>
          <w:rStyle w:val="FootnoteReference"/>
          <w:rFonts w:ascii="Times New Roman" w:hAnsi="Times New Roman" w:cs="Times New Roman"/>
          <w:sz w:val="24"/>
          <w:szCs w:val="24"/>
          <w:lang w:val="ro-MD"/>
        </w:rPr>
        <w:footnoteReference w:id="63"/>
      </w:r>
      <w:r w:rsidRPr="00483DC7">
        <w:rPr>
          <w:rFonts w:ascii="Times New Roman" w:hAnsi="Times New Roman" w:cs="Times New Roman"/>
          <w:sz w:val="24"/>
          <w:szCs w:val="24"/>
          <w:lang w:val="ro-MD"/>
        </w:rPr>
        <w:t xml:space="preserve"> și</w:t>
      </w:r>
      <w:r w:rsidR="00E7391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respectiv</w:t>
      </w:r>
      <w:r w:rsidR="00E7391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c) în </w:t>
      </w:r>
      <w:r w:rsidR="0017283E" w:rsidRPr="00483DC7">
        <w:rPr>
          <w:rFonts w:ascii="Times New Roman" w:hAnsi="Times New Roman" w:cs="Times New Roman"/>
          <w:sz w:val="24"/>
          <w:szCs w:val="24"/>
          <w:lang w:val="ro-MD"/>
        </w:rPr>
        <w:t>3</w:t>
      </w:r>
      <w:r w:rsidRPr="00483DC7">
        <w:rPr>
          <w:rFonts w:ascii="Times New Roman" w:hAnsi="Times New Roman" w:cs="Times New Roman"/>
          <w:sz w:val="24"/>
          <w:szCs w:val="24"/>
          <w:lang w:val="ro-MD"/>
        </w:rPr>
        <w:t xml:space="preserve"> cazuri de către OCS</w:t>
      </w:r>
      <w:r w:rsidRPr="00483DC7">
        <w:rPr>
          <w:rStyle w:val="FootnoteReference"/>
          <w:rFonts w:ascii="Times New Roman" w:hAnsi="Times New Roman" w:cs="Times New Roman"/>
          <w:sz w:val="24"/>
          <w:szCs w:val="24"/>
          <w:lang w:val="ro-MD"/>
        </w:rPr>
        <w:footnoteReference w:id="64"/>
      </w:r>
      <w:r w:rsidR="00F26B00" w:rsidRPr="00483DC7">
        <w:rPr>
          <w:rFonts w:ascii="Times New Roman" w:hAnsi="Times New Roman" w:cs="Times New Roman"/>
          <w:sz w:val="24"/>
          <w:szCs w:val="24"/>
          <w:lang w:val="ro-MD"/>
        </w:rPr>
        <w:t>.</w:t>
      </w:r>
    </w:p>
    <w:p w14:paraId="511C4C4E" w14:textId="7F23E2D6" w:rsidR="00E73917" w:rsidRDefault="00E73917" w:rsidP="00CC7054">
      <w:pPr>
        <w:spacing w:after="0" w:line="276" w:lineRule="auto"/>
        <w:ind w:firstLine="709"/>
        <w:jc w:val="both"/>
        <w:rPr>
          <w:rFonts w:ascii="Times New Roman" w:hAnsi="Times New Roman" w:cs="Times New Roman"/>
          <w:sz w:val="24"/>
          <w:szCs w:val="24"/>
          <w:lang w:val="ro-MD"/>
        </w:rPr>
      </w:pPr>
    </w:p>
    <w:p w14:paraId="1EC22E7F" w14:textId="6849BFEF" w:rsidR="00E73917" w:rsidRDefault="00E73917" w:rsidP="00CC7054">
      <w:pPr>
        <w:spacing w:after="0" w:line="276" w:lineRule="auto"/>
        <w:ind w:firstLine="709"/>
        <w:jc w:val="both"/>
        <w:rPr>
          <w:rFonts w:ascii="Times New Roman" w:hAnsi="Times New Roman" w:cs="Times New Roman"/>
          <w:sz w:val="24"/>
          <w:szCs w:val="24"/>
          <w:lang w:val="ro-MD"/>
        </w:rPr>
      </w:pPr>
    </w:p>
    <w:p w14:paraId="70551454" w14:textId="65A2EC1B" w:rsidR="00E73917" w:rsidRDefault="00E73917" w:rsidP="00CC7054">
      <w:pPr>
        <w:spacing w:after="0" w:line="276" w:lineRule="auto"/>
        <w:ind w:firstLine="709"/>
        <w:jc w:val="both"/>
        <w:rPr>
          <w:rFonts w:ascii="Times New Roman" w:hAnsi="Times New Roman" w:cs="Times New Roman"/>
          <w:sz w:val="24"/>
          <w:szCs w:val="24"/>
          <w:lang w:val="ro-MD"/>
        </w:rPr>
      </w:pPr>
    </w:p>
    <w:p w14:paraId="3648C2FE" w14:textId="4944424A" w:rsidR="00E73917" w:rsidRDefault="00E73917" w:rsidP="00CC7054">
      <w:pPr>
        <w:spacing w:after="0" w:line="276" w:lineRule="auto"/>
        <w:ind w:firstLine="709"/>
        <w:jc w:val="both"/>
        <w:rPr>
          <w:rFonts w:ascii="Times New Roman" w:hAnsi="Times New Roman" w:cs="Times New Roman"/>
          <w:sz w:val="24"/>
          <w:szCs w:val="24"/>
          <w:lang w:val="ro-MD"/>
        </w:rPr>
      </w:pPr>
    </w:p>
    <w:p w14:paraId="5AAFE1A8" w14:textId="7F763858" w:rsidR="00E73917" w:rsidRDefault="00E73917" w:rsidP="00CC7054">
      <w:pPr>
        <w:spacing w:after="0" w:line="276" w:lineRule="auto"/>
        <w:ind w:firstLine="709"/>
        <w:jc w:val="both"/>
        <w:rPr>
          <w:rFonts w:ascii="Times New Roman" w:hAnsi="Times New Roman" w:cs="Times New Roman"/>
          <w:sz w:val="24"/>
          <w:szCs w:val="24"/>
          <w:lang w:val="ro-MD"/>
        </w:rPr>
      </w:pPr>
    </w:p>
    <w:p w14:paraId="755C71FD" w14:textId="41C083E3" w:rsidR="00E73917" w:rsidRDefault="00E73917" w:rsidP="00CC7054">
      <w:pPr>
        <w:spacing w:after="0" w:line="276" w:lineRule="auto"/>
        <w:ind w:firstLine="709"/>
        <w:jc w:val="both"/>
        <w:rPr>
          <w:rFonts w:ascii="Times New Roman" w:hAnsi="Times New Roman" w:cs="Times New Roman"/>
          <w:sz w:val="24"/>
          <w:szCs w:val="24"/>
          <w:lang w:val="ro-MD"/>
        </w:rPr>
      </w:pPr>
    </w:p>
    <w:p w14:paraId="11907036" w14:textId="77777777" w:rsidR="00E73917" w:rsidRPr="00483DC7" w:rsidRDefault="00E73917" w:rsidP="00CC7054">
      <w:pPr>
        <w:spacing w:after="0" w:line="276" w:lineRule="auto"/>
        <w:ind w:firstLine="709"/>
        <w:jc w:val="both"/>
        <w:rPr>
          <w:rFonts w:ascii="Times New Roman" w:hAnsi="Times New Roman" w:cs="Times New Roman"/>
          <w:sz w:val="24"/>
          <w:szCs w:val="24"/>
          <w:lang w:val="ro-MD"/>
        </w:rPr>
      </w:pPr>
    </w:p>
    <w:tbl>
      <w:tblPr>
        <w:tblStyle w:val="TableGrid"/>
        <w:tblW w:w="9351" w:type="dxa"/>
        <w:tblLayout w:type="fixed"/>
        <w:tblLook w:val="04A0" w:firstRow="1" w:lastRow="0" w:firstColumn="1" w:lastColumn="0" w:noHBand="0" w:noVBand="1"/>
      </w:tblPr>
      <w:tblGrid>
        <w:gridCol w:w="562"/>
        <w:gridCol w:w="1418"/>
        <w:gridCol w:w="1133"/>
        <w:gridCol w:w="1134"/>
        <w:gridCol w:w="1276"/>
        <w:gridCol w:w="1276"/>
        <w:gridCol w:w="1276"/>
        <w:gridCol w:w="1276"/>
      </w:tblGrid>
      <w:tr w:rsidR="00427F18" w:rsidRPr="00483DC7" w14:paraId="68BCCAC5" w14:textId="77777777" w:rsidTr="00E0750C">
        <w:tc>
          <w:tcPr>
            <w:tcW w:w="9351" w:type="dxa"/>
            <w:gridSpan w:val="8"/>
            <w:tcBorders>
              <w:top w:val="single" w:sz="4" w:space="0" w:color="FFFFFF"/>
              <w:left w:val="single" w:sz="4" w:space="0" w:color="FFFFFF"/>
              <w:right w:val="single" w:sz="4" w:space="0" w:color="FFFFFF"/>
            </w:tcBorders>
          </w:tcPr>
          <w:p w14:paraId="26CE52CD" w14:textId="77777777" w:rsidR="00427F18" w:rsidRPr="00483DC7" w:rsidRDefault="00427F18" w:rsidP="00427F18">
            <w:pPr>
              <w:spacing w:line="276" w:lineRule="auto"/>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lastRenderedPageBreak/>
              <w:t>Tabelul nr.7</w:t>
            </w:r>
          </w:p>
          <w:p w14:paraId="544B5305" w14:textId="77777777" w:rsidR="00427F18" w:rsidRPr="00483DC7" w:rsidRDefault="00427F18" w:rsidP="00427F18">
            <w:pPr>
              <w:spacing w:line="276" w:lineRule="auto"/>
              <w:jc w:val="center"/>
              <w:rPr>
                <w:rFonts w:ascii="Times New Roman" w:hAnsi="Times New Roman" w:cs="Times New Roman"/>
                <w:i/>
                <w:sz w:val="20"/>
                <w:szCs w:val="20"/>
                <w:lang w:val="ro-MD"/>
              </w:rPr>
            </w:pPr>
            <w:r w:rsidRPr="00483DC7">
              <w:rPr>
                <w:rFonts w:ascii="Times New Roman" w:hAnsi="Times New Roman" w:cs="Times New Roman"/>
                <w:i/>
                <w:sz w:val="20"/>
                <w:szCs w:val="20"/>
                <w:lang w:val="ro-MD"/>
              </w:rPr>
              <w:t>Analiza fondurilor anuale de salarizare a personalului UIPFAE pentru anii 2022-2023</w:t>
            </w:r>
          </w:p>
        </w:tc>
      </w:tr>
      <w:tr w:rsidR="00427F18" w:rsidRPr="00483DC7" w14:paraId="2203AD81" w14:textId="77777777" w:rsidTr="00B412DA">
        <w:tc>
          <w:tcPr>
            <w:tcW w:w="562" w:type="dxa"/>
            <w:vMerge w:val="restart"/>
            <w:shd w:val="clear" w:color="auto" w:fill="DEEAF6" w:themeFill="accent1" w:themeFillTint="33"/>
            <w:vAlign w:val="center"/>
          </w:tcPr>
          <w:p w14:paraId="2DBBCD3F" w14:textId="3BE89535" w:rsidR="00427F18" w:rsidRPr="00483DC7" w:rsidRDefault="00427F18" w:rsidP="00E73917">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Nr. </w:t>
            </w:r>
            <w:r w:rsidR="00E73917">
              <w:rPr>
                <w:rFonts w:ascii="Times New Roman" w:hAnsi="Times New Roman" w:cs="Times New Roman"/>
                <w:b/>
                <w:sz w:val="20"/>
                <w:szCs w:val="20"/>
                <w:lang w:val="ro-MD"/>
              </w:rPr>
              <w:t>crt.</w:t>
            </w:r>
          </w:p>
        </w:tc>
        <w:tc>
          <w:tcPr>
            <w:tcW w:w="1418" w:type="dxa"/>
            <w:vMerge w:val="restart"/>
            <w:shd w:val="clear" w:color="auto" w:fill="DEEAF6" w:themeFill="accent1" w:themeFillTint="33"/>
            <w:vAlign w:val="center"/>
          </w:tcPr>
          <w:p w14:paraId="18BDB006" w14:textId="77777777" w:rsidR="00427F18" w:rsidRPr="00483DC7" w:rsidRDefault="00427F18"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Denumirea UIPFAE</w:t>
            </w:r>
          </w:p>
        </w:tc>
        <w:tc>
          <w:tcPr>
            <w:tcW w:w="2267" w:type="dxa"/>
            <w:gridSpan w:val="2"/>
            <w:shd w:val="clear" w:color="auto" w:fill="DEEAF6" w:themeFill="accent1" w:themeFillTint="33"/>
            <w:vAlign w:val="center"/>
          </w:tcPr>
          <w:p w14:paraId="40168A41" w14:textId="6F5D39A6" w:rsidR="00427F18" w:rsidRPr="00483DC7" w:rsidRDefault="00427F18"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Efectivul-limită a</w:t>
            </w:r>
            <w:r w:rsidR="00E73917">
              <w:rPr>
                <w:rFonts w:ascii="Times New Roman" w:hAnsi="Times New Roman" w:cs="Times New Roman"/>
                <w:b/>
                <w:sz w:val="20"/>
                <w:szCs w:val="20"/>
                <w:lang w:val="ro-MD"/>
              </w:rPr>
              <w:t>l</w:t>
            </w:r>
            <w:r w:rsidRPr="00483DC7">
              <w:rPr>
                <w:rFonts w:ascii="Times New Roman" w:hAnsi="Times New Roman" w:cs="Times New Roman"/>
                <w:b/>
                <w:sz w:val="20"/>
                <w:szCs w:val="20"/>
                <w:lang w:val="ro-MD"/>
              </w:rPr>
              <w:t xml:space="preserve"> personalului (unități), aprobat pentru:</w:t>
            </w:r>
          </w:p>
        </w:tc>
        <w:tc>
          <w:tcPr>
            <w:tcW w:w="2552" w:type="dxa"/>
            <w:gridSpan w:val="2"/>
            <w:shd w:val="clear" w:color="auto" w:fill="DEEAF6" w:themeFill="accent1" w:themeFillTint="33"/>
          </w:tcPr>
          <w:p w14:paraId="3BC2C2AB" w14:textId="68ED808B" w:rsidR="00427F18" w:rsidRPr="00483DC7" w:rsidRDefault="00427F18" w:rsidP="00E73917">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Personalul efectiv încadrat (unități), conform </w:t>
            </w:r>
            <w:r w:rsidR="00E73917">
              <w:rPr>
                <w:rFonts w:ascii="Times New Roman" w:hAnsi="Times New Roman" w:cs="Times New Roman"/>
                <w:b/>
                <w:sz w:val="20"/>
                <w:szCs w:val="20"/>
                <w:lang w:val="ro-MD"/>
              </w:rPr>
              <w:t>s</w:t>
            </w:r>
            <w:r w:rsidRPr="00483DC7">
              <w:rPr>
                <w:rFonts w:ascii="Times New Roman" w:hAnsi="Times New Roman" w:cs="Times New Roman"/>
                <w:b/>
                <w:sz w:val="20"/>
                <w:szCs w:val="20"/>
                <w:lang w:val="ro-MD"/>
              </w:rPr>
              <w:t>tatelor de retribuții pentru:</w:t>
            </w:r>
          </w:p>
        </w:tc>
        <w:tc>
          <w:tcPr>
            <w:tcW w:w="2552" w:type="dxa"/>
            <w:gridSpan w:val="2"/>
            <w:shd w:val="clear" w:color="auto" w:fill="DEEAF6" w:themeFill="accent1" w:themeFillTint="33"/>
          </w:tcPr>
          <w:p w14:paraId="28152C4F" w14:textId="54797F59" w:rsidR="008A1B1C" w:rsidRDefault="008A1B1C" w:rsidP="00E0750C">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Cheltuieli</w:t>
            </w:r>
            <w:r w:rsidR="00427F18" w:rsidRPr="00483DC7">
              <w:rPr>
                <w:rFonts w:ascii="Times New Roman" w:hAnsi="Times New Roman" w:cs="Times New Roman"/>
                <w:b/>
                <w:sz w:val="20"/>
                <w:szCs w:val="20"/>
                <w:lang w:val="ro-MD"/>
              </w:rPr>
              <w:t xml:space="preserve"> anual</w:t>
            </w:r>
            <w:r>
              <w:rPr>
                <w:rFonts w:ascii="Times New Roman" w:hAnsi="Times New Roman" w:cs="Times New Roman"/>
                <w:b/>
                <w:sz w:val="20"/>
                <w:szCs w:val="20"/>
                <w:lang w:val="ro-MD"/>
              </w:rPr>
              <w:t>e</w:t>
            </w:r>
            <w:r w:rsidR="00427F18" w:rsidRPr="00483DC7">
              <w:rPr>
                <w:rFonts w:ascii="Times New Roman" w:hAnsi="Times New Roman" w:cs="Times New Roman"/>
                <w:b/>
                <w:sz w:val="20"/>
                <w:szCs w:val="20"/>
                <w:lang w:val="ro-MD"/>
              </w:rPr>
              <w:t xml:space="preserve"> de salarizare calculat</w:t>
            </w:r>
            <w:r w:rsidR="00E0750C" w:rsidRPr="00483DC7">
              <w:rPr>
                <w:rFonts w:ascii="Times New Roman" w:hAnsi="Times New Roman" w:cs="Times New Roman"/>
                <w:b/>
                <w:sz w:val="20"/>
                <w:szCs w:val="20"/>
                <w:lang w:val="ro-MD"/>
              </w:rPr>
              <w:t xml:space="preserve"> conform </w:t>
            </w:r>
            <w:r w:rsidR="00E73917">
              <w:rPr>
                <w:rFonts w:ascii="Times New Roman" w:hAnsi="Times New Roman" w:cs="Times New Roman"/>
                <w:b/>
                <w:sz w:val="20"/>
                <w:szCs w:val="20"/>
                <w:lang w:val="ro-MD"/>
              </w:rPr>
              <w:t>s</w:t>
            </w:r>
            <w:r w:rsidR="00E0750C" w:rsidRPr="00483DC7">
              <w:rPr>
                <w:rFonts w:ascii="Times New Roman" w:hAnsi="Times New Roman" w:cs="Times New Roman"/>
                <w:b/>
                <w:sz w:val="20"/>
                <w:szCs w:val="20"/>
                <w:lang w:val="ro-MD"/>
              </w:rPr>
              <w:t xml:space="preserve">tatelor de retribuții </w:t>
            </w:r>
          </w:p>
          <w:p w14:paraId="39B2F8E8" w14:textId="0EB3F044" w:rsidR="00427F18" w:rsidRPr="00483DC7" w:rsidRDefault="00E0750C" w:rsidP="00E0750C">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(mii lei)</w:t>
            </w:r>
            <w:r w:rsidR="00427F18" w:rsidRPr="00483DC7">
              <w:rPr>
                <w:rFonts w:ascii="Times New Roman" w:hAnsi="Times New Roman" w:cs="Times New Roman"/>
                <w:b/>
                <w:sz w:val="20"/>
                <w:szCs w:val="20"/>
                <w:lang w:val="ro-MD"/>
              </w:rPr>
              <w:t>:</w:t>
            </w:r>
          </w:p>
        </w:tc>
      </w:tr>
      <w:tr w:rsidR="00427F18" w:rsidRPr="00483DC7" w14:paraId="0D2BE2CA" w14:textId="77777777" w:rsidTr="00B412DA">
        <w:tc>
          <w:tcPr>
            <w:tcW w:w="562" w:type="dxa"/>
            <w:vMerge/>
            <w:shd w:val="clear" w:color="auto" w:fill="DEEAF6" w:themeFill="accent1" w:themeFillTint="33"/>
          </w:tcPr>
          <w:p w14:paraId="022403CF" w14:textId="77777777" w:rsidR="00427F18" w:rsidRPr="00483DC7" w:rsidRDefault="00427F18" w:rsidP="00427F18">
            <w:pPr>
              <w:spacing w:line="276" w:lineRule="auto"/>
              <w:jc w:val="center"/>
              <w:rPr>
                <w:rFonts w:ascii="Times New Roman" w:hAnsi="Times New Roman" w:cs="Times New Roman"/>
                <w:sz w:val="20"/>
                <w:szCs w:val="20"/>
                <w:lang w:val="ro-MD"/>
              </w:rPr>
            </w:pPr>
          </w:p>
        </w:tc>
        <w:tc>
          <w:tcPr>
            <w:tcW w:w="1418" w:type="dxa"/>
            <w:vMerge/>
            <w:shd w:val="clear" w:color="auto" w:fill="DEEAF6" w:themeFill="accent1" w:themeFillTint="33"/>
            <w:vAlign w:val="center"/>
          </w:tcPr>
          <w:p w14:paraId="3AB2DCCA" w14:textId="77777777" w:rsidR="00427F18" w:rsidRPr="00483DC7" w:rsidRDefault="00427F18" w:rsidP="00427F18">
            <w:pPr>
              <w:spacing w:line="276" w:lineRule="auto"/>
              <w:jc w:val="both"/>
              <w:rPr>
                <w:rFonts w:ascii="Times New Roman" w:hAnsi="Times New Roman" w:cs="Times New Roman"/>
                <w:sz w:val="20"/>
                <w:szCs w:val="20"/>
                <w:lang w:val="ro-MD"/>
              </w:rPr>
            </w:pPr>
          </w:p>
        </w:tc>
        <w:tc>
          <w:tcPr>
            <w:tcW w:w="1133" w:type="dxa"/>
            <w:shd w:val="clear" w:color="auto" w:fill="DEEAF6" w:themeFill="accent1" w:themeFillTint="33"/>
            <w:vAlign w:val="center"/>
          </w:tcPr>
          <w:p w14:paraId="7ACCFAE3" w14:textId="0D2DE371"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2022</w:t>
            </w:r>
          </w:p>
        </w:tc>
        <w:tc>
          <w:tcPr>
            <w:tcW w:w="1134" w:type="dxa"/>
            <w:shd w:val="clear" w:color="auto" w:fill="DEEAF6" w:themeFill="accent1" w:themeFillTint="33"/>
            <w:vAlign w:val="center"/>
          </w:tcPr>
          <w:p w14:paraId="24C1CE94" w14:textId="2A607354"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2023</w:t>
            </w:r>
          </w:p>
        </w:tc>
        <w:tc>
          <w:tcPr>
            <w:tcW w:w="1276" w:type="dxa"/>
            <w:shd w:val="clear" w:color="auto" w:fill="DEEAF6" w:themeFill="accent1" w:themeFillTint="33"/>
          </w:tcPr>
          <w:p w14:paraId="3A1EBDD6" w14:textId="2032912D"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2022</w:t>
            </w:r>
          </w:p>
        </w:tc>
        <w:tc>
          <w:tcPr>
            <w:tcW w:w="1276" w:type="dxa"/>
            <w:shd w:val="clear" w:color="auto" w:fill="DEEAF6" w:themeFill="accent1" w:themeFillTint="33"/>
          </w:tcPr>
          <w:p w14:paraId="48658BD0" w14:textId="2E9C8EC5"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2023</w:t>
            </w:r>
          </w:p>
        </w:tc>
        <w:tc>
          <w:tcPr>
            <w:tcW w:w="1276" w:type="dxa"/>
            <w:shd w:val="clear" w:color="auto" w:fill="DEEAF6" w:themeFill="accent1" w:themeFillTint="33"/>
          </w:tcPr>
          <w:p w14:paraId="7AB198EE" w14:textId="11D596A2"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2022</w:t>
            </w:r>
          </w:p>
        </w:tc>
        <w:tc>
          <w:tcPr>
            <w:tcW w:w="1276" w:type="dxa"/>
            <w:shd w:val="clear" w:color="auto" w:fill="DEEAF6" w:themeFill="accent1" w:themeFillTint="33"/>
          </w:tcPr>
          <w:p w14:paraId="0A44D1A8" w14:textId="4927569E" w:rsidR="00427F18" w:rsidRPr="00483DC7" w:rsidRDefault="00E73917"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a</w:t>
            </w:r>
            <w:r w:rsidR="00427F18" w:rsidRPr="00483DC7">
              <w:rPr>
                <w:rFonts w:ascii="Times New Roman" w:hAnsi="Times New Roman" w:cs="Times New Roman"/>
                <w:b/>
                <w:sz w:val="20"/>
                <w:szCs w:val="20"/>
                <w:lang w:val="ro-MD"/>
              </w:rPr>
              <w:t>nul 2023</w:t>
            </w:r>
          </w:p>
        </w:tc>
      </w:tr>
      <w:tr w:rsidR="00427F18" w:rsidRPr="00483DC7" w14:paraId="58669B7B" w14:textId="77777777" w:rsidTr="00B412DA">
        <w:tc>
          <w:tcPr>
            <w:tcW w:w="562" w:type="dxa"/>
            <w:vAlign w:val="center"/>
          </w:tcPr>
          <w:p w14:paraId="67A8212B"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w:t>
            </w:r>
          </w:p>
        </w:tc>
        <w:tc>
          <w:tcPr>
            <w:tcW w:w="1418" w:type="dxa"/>
            <w:vAlign w:val="center"/>
          </w:tcPr>
          <w:p w14:paraId="380D5AE5"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ADMA</w:t>
            </w:r>
          </w:p>
        </w:tc>
        <w:tc>
          <w:tcPr>
            <w:tcW w:w="1133" w:type="dxa"/>
            <w:vAlign w:val="center"/>
          </w:tcPr>
          <w:p w14:paraId="7364C8B9"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30</w:t>
            </w:r>
          </w:p>
        </w:tc>
        <w:tc>
          <w:tcPr>
            <w:tcW w:w="1134" w:type="dxa"/>
            <w:vAlign w:val="center"/>
          </w:tcPr>
          <w:p w14:paraId="7C75509F"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30</w:t>
            </w:r>
          </w:p>
        </w:tc>
        <w:tc>
          <w:tcPr>
            <w:tcW w:w="1276" w:type="dxa"/>
          </w:tcPr>
          <w:p w14:paraId="3BA2E7DC"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28</w:t>
            </w:r>
          </w:p>
        </w:tc>
        <w:tc>
          <w:tcPr>
            <w:tcW w:w="1276" w:type="dxa"/>
          </w:tcPr>
          <w:p w14:paraId="73A5C5C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37</w:t>
            </w:r>
          </w:p>
        </w:tc>
        <w:tc>
          <w:tcPr>
            <w:tcW w:w="1276" w:type="dxa"/>
          </w:tcPr>
          <w:p w14:paraId="39A046FE"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6.957,71</w:t>
            </w:r>
          </w:p>
        </w:tc>
        <w:tc>
          <w:tcPr>
            <w:tcW w:w="1276" w:type="dxa"/>
          </w:tcPr>
          <w:p w14:paraId="54D05C02"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7.645,65</w:t>
            </w:r>
          </w:p>
        </w:tc>
      </w:tr>
      <w:tr w:rsidR="00427F18" w:rsidRPr="00483DC7" w14:paraId="6C610A0C" w14:textId="77777777" w:rsidTr="00B412DA">
        <w:tc>
          <w:tcPr>
            <w:tcW w:w="562" w:type="dxa"/>
            <w:vAlign w:val="center"/>
          </w:tcPr>
          <w:p w14:paraId="7367A6F4"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w:t>
            </w:r>
          </w:p>
        </w:tc>
        <w:tc>
          <w:tcPr>
            <w:tcW w:w="1418" w:type="dxa"/>
            <w:vAlign w:val="center"/>
          </w:tcPr>
          <w:p w14:paraId="6A7CE6B5"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OGPAE</w:t>
            </w:r>
          </w:p>
        </w:tc>
        <w:tc>
          <w:tcPr>
            <w:tcW w:w="1133" w:type="dxa"/>
            <w:vAlign w:val="center"/>
          </w:tcPr>
          <w:p w14:paraId="54ABA88F"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30</w:t>
            </w:r>
          </w:p>
        </w:tc>
        <w:tc>
          <w:tcPr>
            <w:tcW w:w="1134" w:type="dxa"/>
            <w:vAlign w:val="center"/>
          </w:tcPr>
          <w:p w14:paraId="586E6AFC"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30</w:t>
            </w:r>
          </w:p>
        </w:tc>
        <w:tc>
          <w:tcPr>
            <w:tcW w:w="1276" w:type="dxa"/>
          </w:tcPr>
          <w:p w14:paraId="1F0B3B1D" w14:textId="4CF3C865" w:rsidR="00427F18" w:rsidRPr="00483DC7" w:rsidRDefault="00532361" w:rsidP="00AB4322">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32</w:t>
            </w:r>
          </w:p>
        </w:tc>
        <w:tc>
          <w:tcPr>
            <w:tcW w:w="1276" w:type="dxa"/>
          </w:tcPr>
          <w:p w14:paraId="0CE77ACA" w14:textId="3BBB4A4C" w:rsidR="00427F18" w:rsidRPr="00483DC7" w:rsidRDefault="00532361"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33</w:t>
            </w:r>
          </w:p>
        </w:tc>
        <w:tc>
          <w:tcPr>
            <w:tcW w:w="1276" w:type="dxa"/>
          </w:tcPr>
          <w:p w14:paraId="275E5427" w14:textId="3F86F333" w:rsidR="00427F18" w:rsidRPr="00483DC7" w:rsidRDefault="00532361"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7.228,53</w:t>
            </w:r>
          </w:p>
        </w:tc>
        <w:tc>
          <w:tcPr>
            <w:tcW w:w="1276" w:type="dxa"/>
          </w:tcPr>
          <w:p w14:paraId="68CF1B8E" w14:textId="75DA545B" w:rsidR="00427F18" w:rsidRPr="00483DC7" w:rsidRDefault="00532361"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8.317,92</w:t>
            </w:r>
          </w:p>
        </w:tc>
      </w:tr>
      <w:tr w:rsidR="00427F18" w:rsidRPr="00483DC7" w14:paraId="7B469C7C" w14:textId="77777777" w:rsidTr="00B412DA">
        <w:tc>
          <w:tcPr>
            <w:tcW w:w="562" w:type="dxa"/>
            <w:vAlign w:val="center"/>
          </w:tcPr>
          <w:p w14:paraId="61CB6B0A"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418" w:type="dxa"/>
            <w:vAlign w:val="center"/>
          </w:tcPr>
          <w:p w14:paraId="53D64210"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ONDRL</w:t>
            </w:r>
          </w:p>
        </w:tc>
        <w:tc>
          <w:tcPr>
            <w:tcW w:w="1133" w:type="dxa"/>
            <w:vAlign w:val="center"/>
          </w:tcPr>
          <w:p w14:paraId="5DB13B13"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40</w:t>
            </w:r>
          </w:p>
        </w:tc>
        <w:tc>
          <w:tcPr>
            <w:tcW w:w="1134" w:type="dxa"/>
            <w:vAlign w:val="center"/>
          </w:tcPr>
          <w:p w14:paraId="73342AE1"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40</w:t>
            </w:r>
          </w:p>
        </w:tc>
        <w:tc>
          <w:tcPr>
            <w:tcW w:w="1276" w:type="dxa"/>
          </w:tcPr>
          <w:p w14:paraId="335DF7EB" w14:textId="53B73F6C" w:rsidR="00427F18" w:rsidRPr="00483DC7" w:rsidRDefault="00BF5AF4" w:rsidP="00427F18">
            <w:pPr>
              <w:spacing w:line="276" w:lineRule="auto"/>
              <w:jc w:val="center"/>
              <w:rPr>
                <w:rFonts w:ascii="Times New Roman" w:hAnsi="Times New Roman" w:cs="Times New Roman"/>
                <w:sz w:val="20"/>
                <w:szCs w:val="20"/>
                <w:lang w:val="ro-MD"/>
              </w:rPr>
            </w:pPr>
            <w:r>
              <w:rPr>
                <w:rFonts w:ascii="Times New Roman" w:hAnsi="Times New Roman" w:cs="Times New Roman"/>
                <w:sz w:val="20"/>
                <w:szCs w:val="20"/>
                <w:lang w:val="ro-MD"/>
              </w:rPr>
              <w:t>35</w:t>
            </w:r>
          </w:p>
        </w:tc>
        <w:tc>
          <w:tcPr>
            <w:tcW w:w="1276" w:type="dxa"/>
          </w:tcPr>
          <w:p w14:paraId="36FCC7B7" w14:textId="26FC34CB" w:rsidR="00427F18" w:rsidRPr="00483DC7" w:rsidRDefault="00BF5AF4" w:rsidP="00427F18">
            <w:pPr>
              <w:spacing w:line="276" w:lineRule="auto"/>
              <w:jc w:val="center"/>
              <w:rPr>
                <w:rFonts w:ascii="Times New Roman" w:hAnsi="Times New Roman" w:cs="Times New Roman"/>
                <w:sz w:val="20"/>
                <w:szCs w:val="20"/>
                <w:lang w:val="ro-MD"/>
              </w:rPr>
            </w:pPr>
            <w:r>
              <w:rPr>
                <w:rFonts w:ascii="Times New Roman" w:hAnsi="Times New Roman" w:cs="Times New Roman"/>
                <w:sz w:val="20"/>
                <w:szCs w:val="20"/>
                <w:lang w:val="ro-MD"/>
              </w:rPr>
              <w:t>45</w:t>
            </w:r>
          </w:p>
        </w:tc>
        <w:tc>
          <w:tcPr>
            <w:tcW w:w="1276" w:type="dxa"/>
          </w:tcPr>
          <w:p w14:paraId="1A868D0D" w14:textId="0DE7E7BC" w:rsidR="00427F18" w:rsidRPr="00483DC7" w:rsidRDefault="00BF5AF4" w:rsidP="00427F18">
            <w:pPr>
              <w:spacing w:line="276" w:lineRule="auto"/>
              <w:jc w:val="right"/>
              <w:rPr>
                <w:rFonts w:ascii="Times New Roman" w:hAnsi="Times New Roman" w:cs="Times New Roman"/>
                <w:sz w:val="20"/>
                <w:szCs w:val="20"/>
                <w:lang w:val="ro-MD"/>
              </w:rPr>
            </w:pPr>
            <w:r>
              <w:rPr>
                <w:rFonts w:ascii="Times New Roman" w:hAnsi="Times New Roman" w:cs="Times New Roman"/>
                <w:sz w:val="20"/>
                <w:szCs w:val="20"/>
                <w:lang w:val="ro-MD"/>
              </w:rPr>
              <w:t>5.787,20</w:t>
            </w:r>
          </w:p>
        </w:tc>
        <w:tc>
          <w:tcPr>
            <w:tcW w:w="1276" w:type="dxa"/>
          </w:tcPr>
          <w:p w14:paraId="36DDEFD5" w14:textId="201965A5" w:rsidR="00427F18" w:rsidRPr="00483DC7" w:rsidRDefault="00AB67A3" w:rsidP="00BF5AF4">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13.9</w:t>
            </w:r>
            <w:r w:rsidR="00BF5AF4">
              <w:rPr>
                <w:rFonts w:ascii="Times New Roman" w:hAnsi="Times New Roman" w:cs="Times New Roman"/>
                <w:sz w:val="20"/>
                <w:szCs w:val="20"/>
                <w:lang w:val="ro-MD"/>
              </w:rPr>
              <w:t>3</w:t>
            </w:r>
            <w:r w:rsidRPr="00483DC7">
              <w:rPr>
                <w:rFonts w:ascii="Times New Roman" w:hAnsi="Times New Roman" w:cs="Times New Roman"/>
                <w:sz w:val="20"/>
                <w:szCs w:val="20"/>
                <w:lang w:val="ro-MD"/>
              </w:rPr>
              <w:t>8,</w:t>
            </w:r>
            <w:r w:rsidR="00BF5AF4">
              <w:rPr>
                <w:rFonts w:ascii="Times New Roman" w:hAnsi="Times New Roman" w:cs="Times New Roman"/>
                <w:sz w:val="20"/>
                <w:szCs w:val="20"/>
                <w:lang w:val="ro-MD"/>
              </w:rPr>
              <w:t>10</w:t>
            </w:r>
          </w:p>
        </w:tc>
      </w:tr>
      <w:tr w:rsidR="00427F18" w:rsidRPr="00483DC7" w14:paraId="54C54242" w14:textId="77777777" w:rsidTr="00B412DA">
        <w:tc>
          <w:tcPr>
            <w:tcW w:w="562" w:type="dxa"/>
            <w:vAlign w:val="center"/>
          </w:tcPr>
          <w:p w14:paraId="5EEE46A4"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418" w:type="dxa"/>
            <w:vAlign w:val="center"/>
          </w:tcPr>
          <w:p w14:paraId="7618FCAF"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ONIPM</w:t>
            </w:r>
          </w:p>
        </w:tc>
        <w:tc>
          <w:tcPr>
            <w:tcW w:w="1133" w:type="dxa"/>
            <w:vAlign w:val="center"/>
          </w:tcPr>
          <w:p w14:paraId="37A2B020" w14:textId="541AF653" w:rsidR="00427F18" w:rsidRPr="00483DC7" w:rsidRDefault="00A123D9"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134" w:type="dxa"/>
            <w:vAlign w:val="center"/>
          </w:tcPr>
          <w:p w14:paraId="774B7A7D"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276" w:type="dxa"/>
          </w:tcPr>
          <w:p w14:paraId="25A6F676"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276" w:type="dxa"/>
          </w:tcPr>
          <w:p w14:paraId="1149D9D2"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9</w:t>
            </w:r>
          </w:p>
        </w:tc>
        <w:tc>
          <w:tcPr>
            <w:tcW w:w="1276" w:type="dxa"/>
          </w:tcPr>
          <w:p w14:paraId="593615AB"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1.793,00</w:t>
            </w:r>
          </w:p>
        </w:tc>
        <w:tc>
          <w:tcPr>
            <w:tcW w:w="1276" w:type="dxa"/>
          </w:tcPr>
          <w:p w14:paraId="0AEA2CCC"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2.253,54</w:t>
            </w:r>
          </w:p>
        </w:tc>
      </w:tr>
      <w:tr w:rsidR="00427F18" w:rsidRPr="00483DC7" w14:paraId="5F58EB66" w14:textId="77777777" w:rsidTr="00B412DA">
        <w:tc>
          <w:tcPr>
            <w:tcW w:w="562" w:type="dxa"/>
            <w:vAlign w:val="center"/>
          </w:tcPr>
          <w:p w14:paraId="2E8BC80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5</w:t>
            </w:r>
          </w:p>
        </w:tc>
        <w:tc>
          <w:tcPr>
            <w:tcW w:w="1418" w:type="dxa"/>
            <w:vAlign w:val="center"/>
          </w:tcPr>
          <w:p w14:paraId="438482AA"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UCIMPA</w:t>
            </w:r>
          </w:p>
        </w:tc>
        <w:tc>
          <w:tcPr>
            <w:tcW w:w="1133" w:type="dxa"/>
            <w:vAlign w:val="center"/>
          </w:tcPr>
          <w:p w14:paraId="4D95855B"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134" w:type="dxa"/>
            <w:vAlign w:val="center"/>
          </w:tcPr>
          <w:p w14:paraId="7C29C67A"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276" w:type="dxa"/>
          </w:tcPr>
          <w:p w14:paraId="69B02F07"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276" w:type="dxa"/>
          </w:tcPr>
          <w:p w14:paraId="2709115C"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276" w:type="dxa"/>
          </w:tcPr>
          <w:p w14:paraId="21EBCCE4"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1.682,06</w:t>
            </w:r>
          </w:p>
        </w:tc>
        <w:tc>
          <w:tcPr>
            <w:tcW w:w="1276" w:type="dxa"/>
          </w:tcPr>
          <w:p w14:paraId="6E2011D4"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1.820,62</w:t>
            </w:r>
          </w:p>
        </w:tc>
      </w:tr>
      <w:tr w:rsidR="00427F18" w:rsidRPr="00483DC7" w14:paraId="047D37BD" w14:textId="77777777" w:rsidTr="00B412DA">
        <w:tc>
          <w:tcPr>
            <w:tcW w:w="562" w:type="dxa"/>
            <w:vAlign w:val="center"/>
          </w:tcPr>
          <w:p w14:paraId="714B8BC8"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6</w:t>
            </w:r>
          </w:p>
        </w:tc>
        <w:tc>
          <w:tcPr>
            <w:tcW w:w="1418" w:type="dxa"/>
            <w:vAlign w:val="center"/>
          </w:tcPr>
          <w:p w14:paraId="7A3E6ECA"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 DS</w:t>
            </w:r>
          </w:p>
        </w:tc>
        <w:tc>
          <w:tcPr>
            <w:tcW w:w="1133" w:type="dxa"/>
            <w:vAlign w:val="center"/>
          </w:tcPr>
          <w:p w14:paraId="482D3464"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17,75</w:t>
            </w:r>
          </w:p>
        </w:tc>
        <w:tc>
          <w:tcPr>
            <w:tcW w:w="1134" w:type="dxa"/>
            <w:vAlign w:val="center"/>
          </w:tcPr>
          <w:p w14:paraId="093FC7A8"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17,75</w:t>
            </w:r>
          </w:p>
        </w:tc>
        <w:tc>
          <w:tcPr>
            <w:tcW w:w="1276" w:type="dxa"/>
          </w:tcPr>
          <w:p w14:paraId="6EDB3E03"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16</w:t>
            </w:r>
          </w:p>
        </w:tc>
        <w:tc>
          <w:tcPr>
            <w:tcW w:w="1276" w:type="dxa"/>
          </w:tcPr>
          <w:p w14:paraId="6BE6EBF4"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16</w:t>
            </w:r>
          </w:p>
        </w:tc>
        <w:tc>
          <w:tcPr>
            <w:tcW w:w="1276" w:type="dxa"/>
          </w:tcPr>
          <w:p w14:paraId="14F6DB04"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4.519,25</w:t>
            </w:r>
          </w:p>
        </w:tc>
        <w:tc>
          <w:tcPr>
            <w:tcW w:w="1276" w:type="dxa"/>
          </w:tcPr>
          <w:p w14:paraId="5D3CE72B"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4.883,06</w:t>
            </w:r>
          </w:p>
        </w:tc>
      </w:tr>
      <w:tr w:rsidR="00A73D3E" w:rsidRPr="00483DC7" w14:paraId="57FBFC65" w14:textId="77777777" w:rsidTr="00B412DA">
        <w:tc>
          <w:tcPr>
            <w:tcW w:w="562" w:type="dxa"/>
            <w:vAlign w:val="center"/>
          </w:tcPr>
          <w:p w14:paraId="52CFFC57" w14:textId="77777777" w:rsidR="00A73D3E"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418" w:type="dxa"/>
            <w:vAlign w:val="center"/>
          </w:tcPr>
          <w:p w14:paraId="101075AB" w14:textId="77777777" w:rsidR="00A73D3E" w:rsidRPr="00483DC7" w:rsidRDefault="00A73D3E"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UCIMPRSVV</w:t>
            </w:r>
          </w:p>
        </w:tc>
        <w:tc>
          <w:tcPr>
            <w:tcW w:w="1133" w:type="dxa"/>
            <w:vAlign w:val="center"/>
          </w:tcPr>
          <w:p w14:paraId="627ECF5A" w14:textId="77777777" w:rsidR="00A73D3E"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14</w:t>
            </w:r>
          </w:p>
        </w:tc>
        <w:tc>
          <w:tcPr>
            <w:tcW w:w="1134" w:type="dxa"/>
            <w:vAlign w:val="center"/>
          </w:tcPr>
          <w:p w14:paraId="35E58C4F" w14:textId="77777777" w:rsidR="00A73D3E"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14</w:t>
            </w:r>
          </w:p>
        </w:tc>
        <w:tc>
          <w:tcPr>
            <w:tcW w:w="1276" w:type="dxa"/>
          </w:tcPr>
          <w:p w14:paraId="378CC032" w14:textId="02749E89" w:rsidR="00A73D3E"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18</w:t>
            </w:r>
          </w:p>
        </w:tc>
        <w:tc>
          <w:tcPr>
            <w:tcW w:w="1276" w:type="dxa"/>
          </w:tcPr>
          <w:p w14:paraId="2DB61E26" w14:textId="5B79CC12" w:rsidR="00A73D3E"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17</w:t>
            </w:r>
          </w:p>
        </w:tc>
        <w:tc>
          <w:tcPr>
            <w:tcW w:w="1276" w:type="dxa"/>
          </w:tcPr>
          <w:p w14:paraId="3EAF656E" w14:textId="7CC19CC8" w:rsidR="00A73D3E" w:rsidRPr="00483DC7" w:rsidRDefault="00A73D3E" w:rsidP="00A73D3E">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4.410,89</w:t>
            </w:r>
          </w:p>
        </w:tc>
        <w:tc>
          <w:tcPr>
            <w:tcW w:w="1276" w:type="dxa"/>
          </w:tcPr>
          <w:p w14:paraId="424479A8" w14:textId="57188A79" w:rsidR="00A73D3E" w:rsidRPr="00483DC7" w:rsidRDefault="00A73D3E" w:rsidP="00A73D3E">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4.145,15</w:t>
            </w:r>
          </w:p>
        </w:tc>
      </w:tr>
      <w:tr w:rsidR="00427F18" w:rsidRPr="00483DC7" w14:paraId="1D8F2FC3" w14:textId="77777777" w:rsidTr="00B412DA">
        <w:tc>
          <w:tcPr>
            <w:tcW w:w="562" w:type="dxa"/>
            <w:vAlign w:val="center"/>
          </w:tcPr>
          <w:p w14:paraId="790E8AC6"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418" w:type="dxa"/>
            <w:vAlign w:val="center"/>
          </w:tcPr>
          <w:p w14:paraId="3DEED733"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UCIPE</w:t>
            </w:r>
          </w:p>
        </w:tc>
        <w:tc>
          <w:tcPr>
            <w:tcW w:w="1133" w:type="dxa"/>
            <w:vAlign w:val="center"/>
          </w:tcPr>
          <w:p w14:paraId="0EC29061"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18,25</w:t>
            </w:r>
          </w:p>
        </w:tc>
        <w:tc>
          <w:tcPr>
            <w:tcW w:w="1134" w:type="dxa"/>
            <w:vAlign w:val="center"/>
          </w:tcPr>
          <w:p w14:paraId="59298C57"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30</w:t>
            </w:r>
          </w:p>
        </w:tc>
        <w:tc>
          <w:tcPr>
            <w:tcW w:w="1276" w:type="dxa"/>
          </w:tcPr>
          <w:p w14:paraId="29F9BACD"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26</w:t>
            </w:r>
          </w:p>
        </w:tc>
        <w:tc>
          <w:tcPr>
            <w:tcW w:w="1276" w:type="dxa"/>
          </w:tcPr>
          <w:p w14:paraId="6C80121A"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39</w:t>
            </w:r>
          </w:p>
        </w:tc>
        <w:tc>
          <w:tcPr>
            <w:tcW w:w="1276" w:type="dxa"/>
          </w:tcPr>
          <w:p w14:paraId="0843622A" w14:textId="5C49371B" w:rsidR="00427F18" w:rsidRPr="00483DC7" w:rsidRDefault="00064950"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6.154,63</w:t>
            </w:r>
          </w:p>
        </w:tc>
        <w:tc>
          <w:tcPr>
            <w:tcW w:w="1276" w:type="dxa"/>
          </w:tcPr>
          <w:p w14:paraId="1C199C55" w14:textId="76165731" w:rsidR="00427F18" w:rsidRPr="00483DC7" w:rsidRDefault="00064950"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9.258,21</w:t>
            </w:r>
          </w:p>
        </w:tc>
      </w:tr>
      <w:tr w:rsidR="00427F18" w:rsidRPr="00483DC7" w14:paraId="1C5E143E" w14:textId="77777777" w:rsidTr="00B412DA">
        <w:tc>
          <w:tcPr>
            <w:tcW w:w="562" w:type="dxa"/>
            <w:vAlign w:val="center"/>
          </w:tcPr>
          <w:p w14:paraId="19281F3D"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9</w:t>
            </w:r>
          </w:p>
        </w:tc>
        <w:tc>
          <w:tcPr>
            <w:tcW w:w="1418" w:type="dxa"/>
            <w:vAlign w:val="center"/>
          </w:tcPr>
          <w:p w14:paraId="33432102"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UCIP IFAD</w:t>
            </w:r>
          </w:p>
        </w:tc>
        <w:tc>
          <w:tcPr>
            <w:tcW w:w="1133" w:type="dxa"/>
            <w:vAlign w:val="center"/>
          </w:tcPr>
          <w:p w14:paraId="315605E5" w14:textId="66A6AE56" w:rsidR="00427F18"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22</w:t>
            </w:r>
          </w:p>
        </w:tc>
        <w:tc>
          <w:tcPr>
            <w:tcW w:w="1134" w:type="dxa"/>
            <w:vAlign w:val="center"/>
          </w:tcPr>
          <w:p w14:paraId="4C2CF68F" w14:textId="09F32003" w:rsidR="00427F18"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22</w:t>
            </w:r>
          </w:p>
        </w:tc>
        <w:tc>
          <w:tcPr>
            <w:tcW w:w="1276" w:type="dxa"/>
          </w:tcPr>
          <w:p w14:paraId="73FBBA04" w14:textId="4804F5AC" w:rsidR="00427F18"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20</w:t>
            </w:r>
          </w:p>
        </w:tc>
        <w:tc>
          <w:tcPr>
            <w:tcW w:w="1276" w:type="dxa"/>
          </w:tcPr>
          <w:p w14:paraId="1B1C2524" w14:textId="51BB7AF6" w:rsidR="00427F18" w:rsidRPr="00483DC7" w:rsidRDefault="00A73D3E"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19</w:t>
            </w:r>
          </w:p>
        </w:tc>
        <w:tc>
          <w:tcPr>
            <w:tcW w:w="1276" w:type="dxa"/>
          </w:tcPr>
          <w:p w14:paraId="21C988F5" w14:textId="1EDD401E" w:rsidR="00427F18" w:rsidRPr="00483DC7" w:rsidRDefault="00A73D3E"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5.404,09</w:t>
            </w:r>
          </w:p>
        </w:tc>
        <w:tc>
          <w:tcPr>
            <w:tcW w:w="1276" w:type="dxa"/>
          </w:tcPr>
          <w:p w14:paraId="4B97DF4B" w14:textId="7060C00A" w:rsidR="00427F18" w:rsidRPr="00483DC7" w:rsidRDefault="00A73D3E"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4.022,34</w:t>
            </w:r>
          </w:p>
        </w:tc>
      </w:tr>
      <w:tr w:rsidR="00427F18" w:rsidRPr="00483DC7" w14:paraId="083E45AC" w14:textId="77777777" w:rsidTr="00B412DA">
        <w:tc>
          <w:tcPr>
            <w:tcW w:w="562" w:type="dxa"/>
            <w:vAlign w:val="center"/>
          </w:tcPr>
          <w:p w14:paraId="603B59C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10</w:t>
            </w:r>
          </w:p>
        </w:tc>
        <w:tc>
          <w:tcPr>
            <w:tcW w:w="1418" w:type="dxa"/>
            <w:vAlign w:val="center"/>
          </w:tcPr>
          <w:p w14:paraId="5FEF02AD"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UIPAC</w:t>
            </w:r>
          </w:p>
        </w:tc>
        <w:tc>
          <w:tcPr>
            <w:tcW w:w="1133" w:type="dxa"/>
            <w:vAlign w:val="center"/>
          </w:tcPr>
          <w:p w14:paraId="6F467E36"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134" w:type="dxa"/>
            <w:vAlign w:val="center"/>
          </w:tcPr>
          <w:p w14:paraId="7E64D5E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276" w:type="dxa"/>
          </w:tcPr>
          <w:p w14:paraId="7D6DE0BE"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276" w:type="dxa"/>
          </w:tcPr>
          <w:p w14:paraId="7B53C84A"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12</w:t>
            </w:r>
          </w:p>
        </w:tc>
        <w:tc>
          <w:tcPr>
            <w:tcW w:w="1276" w:type="dxa"/>
          </w:tcPr>
          <w:p w14:paraId="5837B50B"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1.471,05</w:t>
            </w:r>
          </w:p>
        </w:tc>
        <w:tc>
          <w:tcPr>
            <w:tcW w:w="1276" w:type="dxa"/>
          </w:tcPr>
          <w:p w14:paraId="6C295211"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4.287.15</w:t>
            </w:r>
          </w:p>
        </w:tc>
      </w:tr>
      <w:tr w:rsidR="00427F18" w:rsidRPr="00483DC7" w14:paraId="134BFC07" w14:textId="77777777" w:rsidTr="00B412DA">
        <w:tc>
          <w:tcPr>
            <w:tcW w:w="562" w:type="dxa"/>
            <w:vAlign w:val="center"/>
          </w:tcPr>
          <w:p w14:paraId="580395C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11</w:t>
            </w:r>
          </w:p>
        </w:tc>
        <w:tc>
          <w:tcPr>
            <w:tcW w:w="1418" w:type="dxa"/>
            <w:vAlign w:val="center"/>
          </w:tcPr>
          <w:p w14:paraId="1C94BE6B"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UIPCLPV II</w:t>
            </w:r>
          </w:p>
        </w:tc>
        <w:tc>
          <w:tcPr>
            <w:tcW w:w="1133" w:type="dxa"/>
            <w:vAlign w:val="center"/>
          </w:tcPr>
          <w:p w14:paraId="1159D648"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134" w:type="dxa"/>
            <w:vAlign w:val="center"/>
          </w:tcPr>
          <w:p w14:paraId="3E7E3F9B"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276" w:type="dxa"/>
          </w:tcPr>
          <w:p w14:paraId="0C5AE0AC"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276" w:type="dxa"/>
          </w:tcPr>
          <w:p w14:paraId="1569E547"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276" w:type="dxa"/>
          </w:tcPr>
          <w:p w14:paraId="1A8D9083"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801,45</w:t>
            </w:r>
          </w:p>
        </w:tc>
        <w:tc>
          <w:tcPr>
            <w:tcW w:w="1276" w:type="dxa"/>
          </w:tcPr>
          <w:p w14:paraId="43EDC283"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998,13</w:t>
            </w:r>
          </w:p>
        </w:tc>
      </w:tr>
      <w:tr w:rsidR="00427F18" w:rsidRPr="00483DC7" w14:paraId="2A4F65A2" w14:textId="77777777" w:rsidTr="00B412DA">
        <w:tc>
          <w:tcPr>
            <w:tcW w:w="562" w:type="dxa"/>
            <w:vAlign w:val="center"/>
          </w:tcPr>
          <w:p w14:paraId="65104340"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12</w:t>
            </w:r>
          </w:p>
        </w:tc>
        <w:tc>
          <w:tcPr>
            <w:tcW w:w="1418" w:type="dxa"/>
            <w:vAlign w:val="center"/>
          </w:tcPr>
          <w:p w14:paraId="3BF0DC9F" w14:textId="77777777" w:rsidR="00427F18" w:rsidRPr="00483DC7" w:rsidRDefault="00427F18" w:rsidP="00427F18">
            <w:pPr>
              <w:spacing w:line="276"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UIPCPC</w:t>
            </w:r>
          </w:p>
        </w:tc>
        <w:tc>
          <w:tcPr>
            <w:tcW w:w="1133" w:type="dxa"/>
            <w:vAlign w:val="center"/>
          </w:tcPr>
          <w:p w14:paraId="224C8898"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9</w:t>
            </w:r>
          </w:p>
        </w:tc>
        <w:tc>
          <w:tcPr>
            <w:tcW w:w="1134" w:type="dxa"/>
            <w:vAlign w:val="center"/>
          </w:tcPr>
          <w:p w14:paraId="6D20F7F9"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276" w:type="dxa"/>
          </w:tcPr>
          <w:p w14:paraId="24D5F39C"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276" w:type="dxa"/>
          </w:tcPr>
          <w:p w14:paraId="3EEF6DBB" w14:textId="77777777" w:rsidR="00427F18" w:rsidRPr="00483DC7" w:rsidRDefault="00427F18" w:rsidP="00427F18">
            <w:pPr>
              <w:spacing w:line="276" w:lineRule="auto"/>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276" w:type="dxa"/>
          </w:tcPr>
          <w:p w14:paraId="02517268"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626,64</w:t>
            </w:r>
          </w:p>
        </w:tc>
        <w:tc>
          <w:tcPr>
            <w:tcW w:w="1276" w:type="dxa"/>
          </w:tcPr>
          <w:p w14:paraId="099EC099" w14:textId="77777777" w:rsidR="00427F18" w:rsidRPr="00483DC7" w:rsidRDefault="00427F18" w:rsidP="00427F18">
            <w:pPr>
              <w:spacing w:line="276" w:lineRule="auto"/>
              <w:jc w:val="right"/>
              <w:rPr>
                <w:rFonts w:ascii="Times New Roman" w:hAnsi="Times New Roman" w:cs="Times New Roman"/>
                <w:sz w:val="20"/>
                <w:szCs w:val="20"/>
                <w:lang w:val="ro-MD"/>
              </w:rPr>
            </w:pPr>
            <w:r w:rsidRPr="00483DC7">
              <w:rPr>
                <w:rFonts w:ascii="Times New Roman" w:hAnsi="Times New Roman" w:cs="Times New Roman"/>
                <w:sz w:val="20"/>
                <w:szCs w:val="20"/>
                <w:lang w:val="ro-MD"/>
              </w:rPr>
              <w:t>880,79</w:t>
            </w:r>
          </w:p>
        </w:tc>
      </w:tr>
      <w:tr w:rsidR="00427F18" w:rsidRPr="00483DC7" w14:paraId="16CF18DF" w14:textId="77777777" w:rsidTr="00B412DA">
        <w:trPr>
          <w:trHeight w:val="58"/>
        </w:trPr>
        <w:tc>
          <w:tcPr>
            <w:tcW w:w="1980" w:type="dxa"/>
            <w:gridSpan w:val="2"/>
            <w:shd w:val="clear" w:color="auto" w:fill="FFF2CC" w:themeFill="accent4" w:themeFillTint="33"/>
          </w:tcPr>
          <w:p w14:paraId="42FABD3A" w14:textId="77777777" w:rsidR="00427F18" w:rsidRPr="00483DC7" w:rsidRDefault="00427F18"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TOTAL</w:t>
            </w:r>
          </w:p>
        </w:tc>
        <w:tc>
          <w:tcPr>
            <w:tcW w:w="1133" w:type="dxa"/>
            <w:shd w:val="clear" w:color="auto" w:fill="FFF2CC" w:themeFill="accent4" w:themeFillTint="33"/>
            <w:vAlign w:val="center"/>
          </w:tcPr>
          <w:p w14:paraId="283A2C4E" w14:textId="22BD91F3" w:rsidR="00427F18" w:rsidRPr="00483DC7" w:rsidRDefault="00B412DA"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205</w:t>
            </w:r>
          </w:p>
        </w:tc>
        <w:tc>
          <w:tcPr>
            <w:tcW w:w="1134" w:type="dxa"/>
            <w:shd w:val="clear" w:color="auto" w:fill="FFF2CC" w:themeFill="accent4" w:themeFillTint="33"/>
            <w:vAlign w:val="center"/>
          </w:tcPr>
          <w:p w14:paraId="5AC28067" w14:textId="2A887CF1" w:rsidR="00427F18" w:rsidRPr="00483DC7" w:rsidRDefault="00B412DA"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216,75</w:t>
            </w:r>
          </w:p>
        </w:tc>
        <w:tc>
          <w:tcPr>
            <w:tcW w:w="1276" w:type="dxa"/>
            <w:shd w:val="clear" w:color="auto" w:fill="FFF2CC" w:themeFill="accent4" w:themeFillTint="33"/>
          </w:tcPr>
          <w:p w14:paraId="72C4E7FA" w14:textId="659A9D58" w:rsidR="00427F18" w:rsidRPr="00483DC7" w:rsidRDefault="00A77C05"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205</w:t>
            </w:r>
          </w:p>
        </w:tc>
        <w:tc>
          <w:tcPr>
            <w:tcW w:w="1276" w:type="dxa"/>
            <w:shd w:val="clear" w:color="auto" w:fill="FFF2CC" w:themeFill="accent4" w:themeFillTint="33"/>
          </w:tcPr>
          <w:p w14:paraId="070445A1" w14:textId="48C0BF11" w:rsidR="00427F18" w:rsidRPr="00483DC7" w:rsidRDefault="00A77C05" w:rsidP="00427F18">
            <w:pPr>
              <w:spacing w:line="276" w:lineRule="auto"/>
              <w:jc w:val="center"/>
              <w:rPr>
                <w:rFonts w:ascii="Times New Roman" w:hAnsi="Times New Roman" w:cs="Times New Roman"/>
                <w:b/>
                <w:sz w:val="20"/>
                <w:szCs w:val="20"/>
                <w:lang w:val="ro-MD"/>
              </w:rPr>
            </w:pPr>
            <w:r>
              <w:rPr>
                <w:rFonts w:ascii="Times New Roman" w:hAnsi="Times New Roman" w:cs="Times New Roman"/>
                <w:b/>
                <w:sz w:val="20"/>
                <w:szCs w:val="20"/>
                <w:lang w:val="ro-MD"/>
              </w:rPr>
              <w:t>241</w:t>
            </w:r>
          </w:p>
        </w:tc>
        <w:tc>
          <w:tcPr>
            <w:tcW w:w="1276" w:type="dxa"/>
            <w:shd w:val="clear" w:color="auto" w:fill="FFF2CC" w:themeFill="accent4" w:themeFillTint="33"/>
          </w:tcPr>
          <w:p w14:paraId="49EFE2DE" w14:textId="393AE1F3" w:rsidR="00427F18" w:rsidRPr="00483DC7" w:rsidRDefault="00A77C05" w:rsidP="00427F18">
            <w:pPr>
              <w:spacing w:line="276" w:lineRule="auto"/>
              <w:jc w:val="right"/>
              <w:rPr>
                <w:rFonts w:ascii="Times New Roman" w:hAnsi="Times New Roman" w:cs="Times New Roman"/>
                <w:b/>
                <w:sz w:val="20"/>
                <w:szCs w:val="20"/>
                <w:lang w:val="ro-MD"/>
              </w:rPr>
            </w:pPr>
            <w:r>
              <w:rPr>
                <w:rFonts w:ascii="Times New Roman" w:hAnsi="Times New Roman" w:cs="Times New Roman"/>
                <w:b/>
                <w:sz w:val="20"/>
                <w:szCs w:val="20"/>
                <w:lang w:val="ro-MD"/>
              </w:rPr>
              <w:t>46.836,50</w:t>
            </w:r>
          </w:p>
        </w:tc>
        <w:tc>
          <w:tcPr>
            <w:tcW w:w="1276" w:type="dxa"/>
            <w:shd w:val="clear" w:color="auto" w:fill="FFF2CC" w:themeFill="accent4" w:themeFillTint="33"/>
          </w:tcPr>
          <w:p w14:paraId="12DF2D07" w14:textId="3ACEE80C" w:rsidR="00427F18" w:rsidRPr="00483DC7" w:rsidRDefault="00A77C05" w:rsidP="00427F18">
            <w:pPr>
              <w:spacing w:line="276" w:lineRule="auto"/>
              <w:jc w:val="right"/>
              <w:rPr>
                <w:rFonts w:ascii="Times New Roman" w:hAnsi="Times New Roman" w:cs="Times New Roman"/>
                <w:b/>
                <w:sz w:val="20"/>
                <w:szCs w:val="20"/>
                <w:lang w:val="ro-MD"/>
              </w:rPr>
            </w:pPr>
            <w:r>
              <w:rPr>
                <w:rFonts w:ascii="Times New Roman" w:hAnsi="Times New Roman" w:cs="Times New Roman"/>
                <w:b/>
                <w:sz w:val="20"/>
                <w:szCs w:val="20"/>
                <w:lang w:val="ro-MD"/>
              </w:rPr>
              <w:t>58.163,51</w:t>
            </w:r>
          </w:p>
        </w:tc>
      </w:tr>
      <w:tr w:rsidR="00427F18" w:rsidRPr="00483DC7" w14:paraId="0B160F06" w14:textId="77777777" w:rsidTr="00E0750C">
        <w:trPr>
          <w:trHeight w:val="58"/>
        </w:trPr>
        <w:tc>
          <w:tcPr>
            <w:tcW w:w="9351" w:type="dxa"/>
            <w:gridSpan w:val="8"/>
            <w:tcBorders>
              <w:left w:val="single" w:sz="4" w:space="0" w:color="FFFFFF" w:themeColor="background1"/>
              <w:bottom w:val="single" w:sz="4" w:space="0" w:color="FFFFFF" w:themeColor="background1"/>
              <w:right w:val="single" w:sz="4" w:space="0" w:color="FFFFFF" w:themeColor="background1"/>
            </w:tcBorders>
            <w:shd w:val="clear" w:color="auto" w:fill="auto"/>
          </w:tcPr>
          <w:p w14:paraId="21F9E6C0" w14:textId="77777777" w:rsidR="00427F18" w:rsidRPr="00483DC7" w:rsidRDefault="00427F18" w:rsidP="00427F18">
            <w:pPr>
              <w:spacing w:line="276" w:lineRule="auto"/>
              <w:jc w:val="center"/>
              <w:rPr>
                <w:rFonts w:ascii="Times New Roman" w:hAnsi="Times New Roman" w:cs="Times New Roman"/>
                <w:b/>
                <w:sz w:val="20"/>
                <w:szCs w:val="20"/>
                <w:lang w:val="ro-MD"/>
              </w:rPr>
            </w:pPr>
            <w:r w:rsidRPr="00483DC7">
              <w:rPr>
                <w:rFonts w:ascii="Times New Roman" w:hAnsi="Times New Roman" w:cs="Times New Roman"/>
                <w:b/>
                <w:i/>
                <w:sz w:val="18"/>
                <w:szCs w:val="18"/>
                <w:lang w:val="ro-MD"/>
              </w:rPr>
              <w:t>Sursa:</w:t>
            </w:r>
            <w:r w:rsidRPr="00483DC7">
              <w:rPr>
                <w:rFonts w:ascii="Times New Roman" w:hAnsi="Times New Roman" w:cs="Times New Roman"/>
                <w:i/>
                <w:sz w:val="18"/>
                <w:szCs w:val="18"/>
                <w:lang w:val="ro-MD"/>
              </w:rPr>
              <w:t xml:space="preserve"> Formularele nr.22 și nr.23 anexate la Nota de contabilitate nr. NC-5 pentru anii 2022-2023</w:t>
            </w:r>
          </w:p>
        </w:tc>
      </w:tr>
    </w:tbl>
    <w:p w14:paraId="684B004A" w14:textId="604D0664" w:rsidR="00427F18" w:rsidRPr="00483DC7" w:rsidRDefault="00427F18" w:rsidP="00261456">
      <w:pPr>
        <w:spacing w:before="240"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Documentele de aprobare a efectivului-limită a</w:t>
      </w:r>
      <w:r w:rsidR="00E73917">
        <w:rPr>
          <w:rFonts w:ascii="Times New Roman" w:hAnsi="Times New Roman" w:cs="Times New Roman"/>
          <w:sz w:val="24"/>
          <w:szCs w:val="24"/>
          <w:lang w:val="ro-MD"/>
        </w:rPr>
        <w:t>l</w:t>
      </w:r>
      <w:r w:rsidRPr="00483DC7">
        <w:rPr>
          <w:rFonts w:ascii="Times New Roman" w:hAnsi="Times New Roman" w:cs="Times New Roman"/>
          <w:sz w:val="24"/>
          <w:szCs w:val="24"/>
          <w:lang w:val="ro-MD"/>
        </w:rPr>
        <w:t xml:space="preserve"> personalului și a fondului de retribuție a muncii diferă de la caz la caz, atât ca structură</w:t>
      </w:r>
      <w:r w:rsidR="00E7391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cât și ca conținut, în unele cazuri fondul de retribuție a muncii fiind stabilit în valută, ceea ce afectează calitatea procesului de planificare bugetară și </w:t>
      </w:r>
      <w:r w:rsidR="00E73917">
        <w:rPr>
          <w:rFonts w:ascii="Times New Roman" w:hAnsi="Times New Roman" w:cs="Times New Roman"/>
          <w:sz w:val="24"/>
          <w:szCs w:val="24"/>
          <w:lang w:val="ro-MD"/>
        </w:rPr>
        <w:t xml:space="preserve">de </w:t>
      </w:r>
      <w:r w:rsidRPr="00483DC7">
        <w:rPr>
          <w:rFonts w:ascii="Times New Roman" w:hAnsi="Times New Roman" w:cs="Times New Roman"/>
          <w:sz w:val="24"/>
          <w:szCs w:val="24"/>
          <w:lang w:val="ro-MD"/>
        </w:rPr>
        <w:t xml:space="preserve">monitorizare a limitelor de cheltuieli aferente retribuției muncii </w:t>
      </w:r>
      <w:r w:rsidR="00E73917">
        <w:rPr>
          <w:rFonts w:ascii="Times New Roman" w:hAnsi="Times New Roman" w:cs="Times New Roman"/>
          <w:sz w:val="24"/>
          <w:szCs w:val="24"/>
          <w:lang w:val="ro-MD"/>
        </w:rPr>
        <w:t>în</w:t>
      </w:r>
      <w:r w:rsidRPr="00483DC7">
        <w:rPr>
          <w:rFonts w:ascii="Times New Roman" w:hAnsi="Times New Roman" w:cs="Times New Roman"/>
          <w:sz w:val="24"/>
          <w:szCs w:val="24"/>
          <w:lang w:val="ro-MD"/>
        </w:rPr>
        <w:t xml:space="preserve"> cadrul UIPFAE.</w:t>
      </w:r>
    </w:p>
    <w:p w14:paraId="2057100B" w14:textId="1DB7B377" w:rsidR="00FB4DE9" w:rsidRPr="00483DC7" w:rsidRDefault="00427F18" w:rsidP="00261456">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Spre exemplu, </w:t>
      </w:r>
      <w:r w:rsidR="008A1B1C">
        <w:rPr>
          <w:rFonts w:ascii="Times New Roman" w:hAnsi="Times New Roman" w:cs="Times New Roman"/>
          <w:sz w:val="24"/>
          <w:szCs w:val="24"/>
          <w:lang w:val="ro-MD"/>
        </w:rPr>
        <w:t>cheltuielile</w:t>
      </w:r>
      <w:r w:rsidRPr="00483DC7">
        <w:rPr>
          <w:rFonts w:ascii="Times New Roman" w:hAnsi="Times New Roman" w:cs="Times New Roman"/>
          <w:sz w:val="24"/>
          <w:szCs w:val="24"/>
          <w:lang w:val="ro-MD"/>
        </w:rPr>
        <w:t xml:space="preserve"> anual</w:t>
      </w:r>
      <w:r w:rsidR="008A1B1C">
        <w:rPr>
          <w:rFonts w:ascii="Times New Roman" w:hAnsi="Times New Roman" w:cs="Times New Roman"/>
          <w:sz w:val="24"/>
          <w:szCs w:val="24"/>
          <w:lang w:val="ro-MD"/>
        </w:rPr>
        <w:t>e</w:t>
      </w:r>
      <w:r w:rsidRPr="00483DC7">
        <w:rPr>
          <w:rFonts w:ascii="Times New Roman" w:hAnsi="Times New Roman" w:cs="Times New Roman"/>
          <w:sz w:val="24"/>
          <w:szCs w:val="24"/>
          <w:lang w:val="ro-MD"/>
        </w:rPr>
        <w:t xml:space="preserve"> de retribuție a muncii directorilor din cadrul a 1</w:t>
      </w:r>
      <w:r w:rsidR="00ED6DD5">
        <w:rPr>
          <w:rFonts w:ascii="Times New Roman" w:hAnsi="Times New Roman" w:cs="Times New Roman"/>
          <w:sz w:val="24"/>
          <w:szCs w:val="24"/>
          <w:lang w:val="ro-MD"/>
        </w:rPr>
        <w:t>2</w:t>
      </w:r>
      <w:r w:rsidRPr="00483DC7">
        <w:rPr>
          <w:rFonts w:ascii="Times New Roman" w:hAnsi="Times New Roman" w:cs="Times New Roman"/>
          <w:sz w:val="24"/>
          <w:szCs w:val="24"/>
          <w:lang w:val="ro-MD"/>
        </w:rPr>
        <w:t xml:space="preserve"> UIPFAE a variat în anul 2022 de la 253,71 mii lei (UIPCPC) până la </w:t>
      </w:r>
      <w:r w:rsidR="001465E4" w:rsidRPr="00483DC7">
        <w:rPr>
          <w:rFonts w:ascii="Times New Roman" w:hAnsi="Times New Roman" w:cs="Times New Roman"/>
          <w:sz w:val="24"/>
          <w:szCs w:val="24"/>
          <w:lang w:val="ro-MD"/>
        </w:rPr>
        <w:t>896,51</w:t>
      </w:r>
      <w:r w:rsidRPr="00483DC7">
        <w:rPr>
          <w:rFonts w:ascii="Times New Roman" w:hAnsi="Times New Roman" w:cs="Times New Roman"/>
          <w:sz w:val="24"/>
          <w:szCs w:val="24"/>
          <w:lang w:val="ro-MD"/>
        </w:rPr>
        <w:t xml:space="preserve"> mii lei (</w:t>
      </w:r>
      <w:r w:rsidR="001465E4" w:rsidRPr="00483DC7">
        <w:rPr>
          <w:rFonts w:ascii="Times New Roman" w:hAnsi="Times New Roman" w:cs="Times New Roman"/>
          <w:sz w:val="24"/>
          <w:szCs w:val="24"/>
          <w:lang w:val="ro-MD"/>
        </w:rPr>
        <w:t>OGPAE</w:t>
      </w:r>
      <w:r w:rsidRPr="00483DC7">
        <w:rPr>
          <w:rFonts w:ascii="Times New Roman" w:hAnsi="Times New Roman" w:cs="Times New Roman"/>
          <w:sz w:val="24"/>
          <w:szCs w:val="24"/>
          <w:lang w:val="ro-MD"/>
        </w:rPr>
        <w:t xml:space="preserve">), iar în anul 2023 – de la 373,27 mii lei (ONIPM) până la 838,07 mii lei (OGPAE). </w:t>
      </w:r>
    </w:p>
    <w:p w14:paraId="73CB7473" w14:textId="20037BF7" w:rsidR="00A73D3E" w:rsidRPr="00483DC7" w:rsidRDefault="008A1B1C" w:rsidP="00095AA4">
      <w:pPr>
        <w:spacing w:after="0" w:line="276" w:lineRule="auto"/>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Î</w:t>
      </w:r>
      <w:r w:rsidR="0017283E" w:rsidRPr="00483DC7">
        <w:rPr>
          <w:rFonts w:ascii="Times New Roman" w:hAnsi="Times New Roman" w:cs="Times New Roman"/>
          <w:sz w:val="24"/>
          <w:szCs w:val="24"/>
          <w:lang w:val="ro-MD"/>
        </w:rPr>
        <w:t>n 4 cazuri din cele 1</w:t>
      </w:r>
      <w:r w:rsidR="00ED6DD5">
        <w:rPr>
          <w:rFonts w:ascii="Times New Roman" w:hAnsi="Times New Roman" w:cs="Times New Roman"/>
          <w:sz w:val="24"/>
          <w:szCs w:val="24"/>
          <w:lang w:val="ro-MD"/>
        </w:rPr>
        <w:t>2</w:t>
      </w:r>
      <w:r w:rsidR="0017283E" w:rsidRPr="00483DC7">
        <w:rPr>
          <w:rFonts w:ascii="Times New Roman" w:hAnsi="Times New Roman" w:cs="Times New Roman"/>
          <w:sz w:val="24"/>
          <w:szCs w:val="24"/>
          <w:lang w:val="ro-MD"/>
        </w:rPr>
        <w:t xml:space="preserve"> analizate, Directorii UIPFAE au beneficiat de premii, adaosuri și/sau sporuri la salariu</w:t>
      </w:r>
      <w:r w:rsidR="00E73917">
        <w:rPr>
          <w:rFonts w:ascii="Times New Roman" w:hAnsi="Times New Roman" w:cs="Times New Roman"/>
          <w:sz w:val="24"/>
          <w:szCs w:val="24"/>
          <w:lang w:val="ro-MD"/>
        </w:rPr>
        <w:t>l</w:t>
      </w:r>
      <w:r w:rsidR="0017283E" w:rsidRPr="00483DC7">
        <w:rPr>
          <w:rFonts w:ascii="Times New Roman" w:hAnsi="Times New Roman" w:cs="Times New Roman"/>
          <w:sz w:val="24"/>
          <w:szCs w:val="24"/>
          <w:lang w:val="ro-MD"/>
        </w:rPr>
        <w:t xml:space="preserve"> de funcție (a se vedea </w:t>
      </w:r>
      <w:r w:rsidR="0017283E" w:rsidRPr="00483DC7">
        <w:rPr>
          <w:rFonts w:ascii="Times New Roman" w:hAnsi="Times New Roman" w:cs="Times New Roman"/>
          <w:b/>
          <w:sz w:val="24"/>
          <w:szCs w:val="24"/>
          <w:lang w:val="ro-MD"/>
        </w:rPr>
        <w:t>Tabelul nr.8</w:t>
      </w:r>
      <w:r w:rsidR="0017283E" w:rsidRPr="00483DC7">
        <w:rPr>
          <w:rFonts w:ascii="Times New Roman" w:hAnsi="Times New Roman" w:cs="Times New Roman"/>
          <w:sz w:val="24"/>
          <w:szCs w:val="24"/>
          <w:lang w:val="ro-MD"/>
        </w:rPr>
        <w:t>).</w:t>
      </w:r>
    </w:p>
    <w:tbl>
      <w:tblPr>
        <w:tblStyle w:val="TableGrid"/>
        <w:tblW w:w="9356" w:type="dxa"/>
        <w:tblInd w:w="-5" w:type="dxa"/>
        <w:tblLayout w:type="fixed"/>
        <w:tblLook w:val="04A0" w:firstRow="1" w:lastRow="0" w:firstColumn="1" w:lastColumn="0" w:noHBand="0" w:noVBand="1"/>
      </w:tblPr>
      <w:tblGrid>
        <w:gridCol w:w="1418"/>
        <w:gridCol w:w="992"/>
        <w:gridCol w:w="851"/>
        <w:gridCol w:w="992"/>
        <w:gridCol w:w="1134"/>
        <w:gridCol w:w="993"/>
        <w:gridCol w:w="850"/>
        <w:gridCol w:w="992"/>
        <w:gridCol w:w="1134"/>
      </w:tblGrid>
      <w:tr w:rsidR="00427F18" w:rsidRPr="00483DC7" w14:paraId="2068ECFA" w14:textId="77777777" w:rsidTr="00D97BD0">
        <w:trPr>
          <w:trHeight w:val="459"/>
        </w:trPr>
        <w:tc>
          <w:tcPr>
            <w:tcW w:w="9356" w:type="dxa"/>
            <w:gridSpan w:val="9"/>
            <w:tcBorders>
              <w:top w:val="single" w:sz="4" w:space="0" w:color="FFFFFF"/>
              <w:left w:val="single" w:sz="4" w:space="0" w:color="FFFFFF"/>
              <w:right w:val="single" w:sz="4" w:space="0" w:color="FFFFFF"/>
            </w:tcBorders>
            <w:shd w:val="clear" w:color="auto" w:fill="auto"/>
            <w:vAlign w:val="center"/>
          </w:tcPr>
          <w:p w14:paraId="2FD0096D" w14:textId="77777777" w:rsidR="00427F18" w:rsidRPr="00483DC7" w:rsidRDefault="00427F18" w:rsidP="00D97BD0">
            <w:pPr>
              <w:spacing w:line="276" w:lineRule="auto"/>
              <w:jc w:val="right"/>
              <w:rPr>
                <w:rFonts w:ascii="Times New Roman" w:hAnsi="Times New Roman" w:cs="Times New Roman"/>
                <w:b/>
                <w:sz w:val="20"/>
                <w:szCs w:val="20"/>
                <w:lang w:val="ro-MD"/>
              </w:rPr>
            </w:pPr>
            <w:r w:rsidRPr="00483DC7">
              <w:rPr>
                <w:rFonts w:ascii="Times New Roman" w:hAnsi="Times New Roman" w:cs="Times New Roman"/>
                <w:b/>
                <w:sz w:val="20"/>
                <w:szCs w:val="20"/>
                <w:lang w:val="ro-MD"/>
              </w:rPr>
              <w:t>Tabelul nr.8</w:t>
            </w:r>
          </w:p>
          <w:p w14:paraId="5B066BF8" w14:textId="77777777" w:rsidR="00427F18" w:rsidRPr="00483DC7" w:rsidRDefault="00427F18" w:rsidP="00427F18">
            <w:pPr>
              <w:spacing w:line="276" w:lineRule="auto"/>
              <w:jc w:val="center"/>
              <w:rPr>
                <w:rFonts w:ascii="Times New Roman" w:hAnsi="Times New Roman" w:cs="Times New Roman"/>
                <w:i/>
                <w:sz w:val="18"/>
                <w:szCs w:val="18"/>
                <w:lang w:val="ro-MD"/>
              </w:rPr>
            </w:pPr>
            <w:r w:rsidRPr="00483DC7">
              <w:rPr>
                <w:rFonts w:ascii="Times New Roman" w:hAnsi="Times New Roman" w:cs="Times New Roman"/>
                <w:i/>
                <w:sz w:val="20"/>
                <w:szCs w:val="20"/>
                <w:lang w:val="ro-MD"/>
              </w:rPr>
              <w:t>Analiza fondului anual de salarizare a directorilor UIPFAE pentru anii 2022-2023</w:t>
            </w:r>
          </w:p>
        </w:tc>
      </w:tr>
      <w:tr w:rsidR="0017283E" w:rsidRPr="00483DC7" w14:paraId="11C65BB4" w14:textId="77777777" w:rsidTr="00D97BD0">
        <w:trPr>
          <w:trHeight w:val="535"/>
        </w:trPr>
        <w:tc>
          <w:tcPr>
            <w:tcW w:w="1418" w:type="dxa"/>
            <w:vMerge w:val="restart"/>
            <w:shd w:val="clear" w:color="auto" w:fill="DEEAF6" w:themeFill="accent1" w:themeFillTint="33"/>
            <w:vAlign w:val="center"/>
          </w:tcPr>
          <w:p w14:paraId="7457EB2A" w14:textId="77777777" w:rsidR="0017283E" w:rsidRPr="00483DC7" w:rsidRDefault="0017283E" w:rsidP="00427F18">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Denumirea UIPFAE</w:t>
            </w:r>
          </w:p>
        </w:tc>
        <w:tc>
          <w:tcPr>
            <w:tcW w:w="992" w:type="dxa"/>
            <w:vMerge w:val="restart"/>
            <w:shd w:val="clear" w:color="auto" w:fill="DEEAF6" w:themeFill="accent1" w:themeFillTint="33"/>
            <w:vAlign w:val="center"/>
          </w:tcPr>
          <w:p w14:paraId="6BE59ADF" w14:textId="5CBED281" w:rsidR="0017283E" w:rsidRPr="00483DC7" w:rsidRDefault="008A1B1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Cheltuieli</w:t>
            </w:r>
            <w:r w:rsidR="0017283E" w:rsidRPr="00483DC7">
              <w:rPr>
                <w:rFonts w:ascii="Times New Roman" w:hAnsi="Times New Roman" w:cs="Times New Roman"/>
                <w:b/>
                <w:sz w:val="18"/>
                <w:szCs w:val="18"/>
                <w:lang w:val="ro-MD"/>
              </w:rPr>
              <w:t xml:space="preserve"> anual</w:t>
            </w:r>
            <w:r>
              <w:rPr>
                <w:rFonts w:ascii="Times New Roman" w:hAnsi="Times New Roman" w:cs="Times New Roman"/>
                <w:b/>
                <w:sz w:val="18"/>
                <w:szCs w:val="18"/>
                <w:lang w:val="ro-MD"/>
              </w:rPr>
              <w:t>e</w:t>
            </w:r>
            <w:r w:rsidR="0017283E" w:rsidRPr="00483DC7">
              <w:rPr>
                <w:rFonts w:ascii="Times New Roman" w:hAnsi="Times New Roman" w:cs="Times New Roman"/>
                <w:b/>
                <w:sz w:val="18"/>
                <w:szCs w:val="18"/>
                <w:lang w:val="ro-MD"/>
              </w:rPr>
              <w:t xml:space="preserve"> de salarizare pentru anul 2022</w:t>
            </w:r>
          </w:p>
          <w:p w14:paraId="62735D83" w14:textId="77777777" w:rsidR="0017283E" w:rsidRPr="00483DC7" w:rsidRDefault="0017283E" w:rsidP="00427F18">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(mii lei)</w:t>
            </w:r>
          </w:p>
        </w:tc>
        <w:tc>
          <w:tcPr>
            <w:tcW w:w="2977" w:type="dxa"/>
            <w:gridSpan w:val="3"/>
            <w:shd w:val="clear" w:color="auto" w:fill="DEEAF6" w:themeFill="accent1" w:themeFillTint="33"/>
            <w:vAlign w:val="center"/>
          </w:tcPr>
          <w:p w14:paraId="7ED75835" w14:textId="37994A66" w:rsidR="0017283E" w:rsidRPr="00483DC7" w:rsidRDefault="0017283E" w:rsidP="008A1B1C">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Inclusiv repartizarea </w:t>
            </w:r>
            <w:r w:rsidR="008A1B1C">
              <w:rPr>
                <w:rFonts w:ascii="Times New Roman" w:hAnsi="Times New Roman" w:cs="Times New Roman"/>
                <w:b/>
                <w:sz w:val="18"/>
                <w:szCs w:val="18"/>
                <w:lang w:val="ro-MD"/>
              </w:rPr>
              <w:t>Cheltuielilor</w:t>
            </w:r>
            <w:r w:rsidRPr="00483DC7">
              <w:rPr>
                <w:rFonts w:ascii="Times New Roman" w:hAnsi="Times New Roman" w:cs="Times New Roman"/>
                <w:b/>
                <w:sz w:val="18"/>
                <w:szCs w:val="18"/>
                <w:lang w:val="ro-MD"/>
              </w:rPr>
              <w:t xml:space="preserve"> anual</w:t>
            </w:r>
            <w:r w:rsidR="008A1B1C">
              <w:rPr>
                <w:rFonts w:ascii="Times New Roman" w:hAnsi="Times New Roman" w:cs="Times New Roman"/>
                <w:b/>
                <w:sz w:val="18"/>
                <w:szCs w:val="18"/>
                <w:lang w:val="ro-MD"/>
              </w:rPr>
              <w:t>e</w:t>
            </w:r>
            <w:r w:rsidRPr="00483DC7">
              <w:rPr>
                <w:rFonts w:ascii="Times New Roman" w:hAnsi="Times New Roman" w:cs="Times New Roman"/>
                <w:b/>
                <w:sz w:val="18"/>
                <w:szCs w:val="18"/>
                <w:lang w:val="ro-MD"/>
              </w:rPr>
              <w:t xml:space="preserve"> pe tipuri de cheltuieli:</w:t>
            </w:r>
          </w:p>
        </w:tc>
        <w:tc>
          <w:tcPr>
            <w:tcW w:w="993" w:type="dxa"/>
            <w:vMerge w:val="restart"/>
            <w:shd w:val="clear" w:color="auto" w:fill="DEEAF6" w:themeFill="accent1" w:themeFillTint="33"/>
            <w:vAlign w:val="center"/>
          </w:tcPr>
          <w:p w14:paraId="265FDF7E" w14:textId="1442FDD2" w:rsidR="0017283E" w:rsidRPr="00483DC7" w:rsidRDefault="008A1B1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cheltuieli</w:t>
            </w:r>
            <w:r w:rsidR="0017283E" w:rsidRPr="00483DC7">
              <w:rPr>
                <w:rFonts w:ascii="Times New Roman" w:hAnsi="Times New Roman" w:cs="Times New Roman"/>
                <w:b/>
                <w:sz w:val="18"/>
                <w:szCs w:val="18"/>
                <w:lang w:val="ro-MD"/>
              </w:rPr>
              <w:t xml:space="preserve"> anual</w:t>
            </w:r>
            <w:r>
              <w:rPr>
                <w:rFonts w:ascii="Times New Roman" w:hAnsi="Times New Roman" w:cs="Times New Roman"/>
                <w:b/>
                <w:sz w:val="18"/>
                <w:szCs w:val="18"/>
                <w:lang w:val="ro-MD"/>
              </w:rPr>
              <w:t>e</w:t>
            </w:r>
            <w:r w:rsidR="0017283E" w:rsidRPr="00483DC7">
              <w:rPr>
                <w:rFonts w:ascii="Times New Roman" w:hAnsi="Times New Roman" w:cs="Times New Roman"/>
                <w:b/>
                <w:sz w:val="18"/>
                <w:szCs w:val="18"/>
                <w:lang w:val="ro-MD"/>
              </w:rPr>
              <w:t xml:space="preserve"> de salarizare pentru anul 2023</w:t>
            </w:r>
          </w:p>
          <w:p w14:paraId="470DB087" w14:textId="77777777" w:rsidR="0017283E" w:rsidRPr="00483DC7" w:rsidRDefault="0017283E" w:rsidP="00427F18">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(mii lei)</w:t>
            </w:r>
          </w:p>
        </w:tc>
        <w:tc>
          <w:tcPr>
            <w:tcW w:w="2976" w:type="dxa"/>
            <w:gridSpan w:val="3"/>
            <w:shd w:val="clear" w:color="auto" w:fill="DEEAF6" w:themeFill="accent1" w:themeFillTint="33"/>
            <w:vAlign w:val="center"/>
          </w:tcPr>
          <w:p w14:paraId="7339F704" w14:textId="2D69CCBE" w:rsidR="0017283E" w:rsidRPr="00483DC7" w:rsidRDefault="0017283E" w:rsidP="008A1B1C">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Inclusiv repartizarea </w:t>
            </w:r>
            <w:r w:rsidR="008A1B1C">
              <w:rPr>
                <w:rFonts w:ascii="Times New Roman" w:hAnsi="Times New Roman" w:cs="Times New Roman"/>
                <w:b/>
                <w:sz w:val="18"/>
                <w:szCs w:val="18"/>
                <w:lang w:val="ro-MD"/>
              </w:rPr>
              <w:t>Cheltuielilor</w:t>
            </w:r>
            <w:r w:rsidRPr="00483DC7">
              <w:rPr>
                <w:rFonts w:ascii="Times New Roman" w:hAnsi="Times New Roman" w:cs="Times New Roman"/>
                <w:b/>
                <w:sz w:val="18"/>
                <w:szCs w:val="18"/>
                <w:lang w:val="ro-MD"/>
              </w:rPr>
              <w:t xml:space="preserve"> anual pe tipuri de cheltuieli:</w:t>
            </w:r>
          </w:p>
        </w:tc>
      </w:tr>
      <w:tr w:rsidR="0017283E" w:rsidRPr="00483DC7" w14:paraId="6CF6667B" w14:textId="77777777" w:rsidTr="00D97BD0">
        <w:trPr>
          <w:trHeight w:val="237"/>
        </w:trPr>
        <w:tc>
          <w:tcPr>
            <w:tcW w:w="1418" w:type="dxa"/>
            <w:vMerge/>
            <w:shd w:val="clear" w:color="auto" w:fill="DEEAF6" w:themeFill="accent1" w:themeFillTint="33"/>
            <w:vAlign w:val="center"/>
          </w:tcPr>
          <w:p w14:paraId="01B8B6A0" w14:textId="77777777" w:rsidR="0017283E" w:rsidRPr="00483DC7" w:rsidRDefault="0017283E" w:rsidP="00427F18">
            <w:pPr>
              <w:spacing w:line="276" w:lineRule="auto"/>
              <w:jc w:val="center"/>
              <w:rPr>
                <w:rFonts w:ascii="Times New Roman" w:hAnsi="Times New Roman" w:cs="Times New Roman"/>
                <w:b/>
                <w:sz w:val="18"/>
                <w:szCs w:val="18"/>
                <w:lang w:val="ro-MD"/>
              </w:rPr>
            </w:pPr>
          </w:p>
        </w:tc>
        <w:tc>
          <w:tcPr>
            <w:tcW w:w="992" w:type="dxa"/>
            <w:vMerge/>
            <w:shd w:val="clear" w:color="auto" w:fill="DEEAF6" w:themeFill="accent1" w:themeFillTint="33"/>
            <w:vAlign w:val="center"/>
          </w:tcPr>
          <w:p w14:paraId="2642CE60" w14:textId="77777777" w:rsidR="0017283E" w:rsidRPr="00483DC7" w:rsidRDefault="0017283E" w:rsidP="00427F18">
            <w:pPr>
              <w:spacing w:line="276" w:lineRule="auto"/>
              <w:jc w:val="center"/>
              <w:rPr>
                <w:rFonts w:ascii="Times New Roman" w:hAnsi="Times New Roman" w:cs="Times New Roman"/>
                <w:b/>
                <w:sz w:val="18"/>
                <w:szCs w:val="18"/>
                <w:lang w:val="ro-MD"/>
              </w:rPr>
            </w:pPr>
          </w:p>
        </w:tc>
        <w:tc>
          <w:tcPr>
            <w:tcW w:w="1843" w:type="dxa"/>
            <w:gridSpan w:val="2"/>
            <w:shd w:val="clear" w:color="auto" w:fill="DEEAF6" w:themeFill="accent1" w:themeFillTint="33"/>
            <w:vAlign w:val="center"/>
          </w:tcPr>
          <w:p w14:paraId="6BF3FFD5" w14:textId="4769689B" w:rsidR="0017283E" w:rsidRPr="00483DC7" w:rsidRDefault="00FE09F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s</w:t>
            </w:r>
            <w:r w:rsidR="0017283E" w:rsidRPr="00483DC7">
              <w:rPr>
                <w:rFonts w:ascii="Times New Roman" w:hAnsi="Times New Roman" w:cs="Times New Roman"/>
                <w:b/>
                <w:sz w:val="18"/>
                <w:szCs w:val="18"/>
                <w:lang w:val="ro-MD"/>
              </w:rPr>
              <w:t>alariu de funcție</w:t>
            </w:r>
          </w:p>
        </w:tc>
        <w:tc>
          <w:tcPr>
            <w:tcW w:w="1134" w:type="dxa"/>
            <w:vMerge w:val="restart"/>
            <w:shd w:val="clear" w:color="auto" w:fill="DEEAF6" w:themeFill="accent1" w:themeFillTint="33"/>
            <w:vAlign w:val="center"/>
          </w:tcPr>
          <w:p w14:paraId="0AAA7FC0" w14:textId="23440B50" w:rsidR="0017283E" w:rsidRPr="00483DC7" w:rsidRDefault="00FE09FC" w:rsidP="00D97BD0">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p</w:t>
            </w:r>
            <w:r w:rsidR="0017283E" w:rsidRPr="00483DC7">
              <w:rPr>
                <w:rFonts w:ascii="Times New Roman" w:hAnsi="Times New Roman" w:cs="Times New Roman"/>
                <w:b/>
                <w:sz w:val="18"/>
                <w:szCs w:val="18"/>
                <w:lang w:val="ro-MD"/>
              </w:rPr>
              <w:t xml:space="preserve">remii, </w:t>
            </w:r>
            <w:r w:rsidR="00D97BD0" w:rsidRPr="00483DC7">
              <w:rPr>
                <w:rFonts w:ascii="Times New Roman" w:hAnsi="Times New Roman" w:cs="Times New Roman"/>
                <w:b/>
                <w:sz w:val="18"/>
                <w:szCs w:val="18"/>
                <w:lang w:val="ro-MD"/>
              </w:rPr>
              <w:t>sporuri</w:t>
            </w:r>
            <w:r w:rsidR="0017283E" w:rsidRPr="00483DC7">
              <w:rPr>
                <w:rFonts w:ascii="Times New Roman" w:hAnsi="Times New Roman" w:cs="Times New Roman"/>
                <w:b/>
                <w:sz w:val="18"/>
                <w:szCs w:val="18"/>
                <w:lang w:val="ro-MD"/>
              </w:rPr>
              <w:t xml:space="preserve"> și </w:t>
            </w:r>
            <w:r w:rsidR="00D97BD0" w:rsidRPr="00483DC7">
              <w:rPr>
                <w:rFonts w:ascii="Times New Roman" w:hAnsi="Times New Roman" w:cs="Times New Roman"/>
                <w:b/>
                <w:sz w:val="18"/>
                <w:szCs w:val="18"/>
                <w:lang w:val="ro-MD"/>
              </w:rPr>
              <w:t>adaosuri</w:t>
            </w:r>
            <w:r w:rsidR="0017283E" w:rsidRPr="00483DC7">
              <w:rPr>
                <w:rFonts w:ascii="Times New Roman" w:hAnsi="Times New Roman" w:cs="Times New Roman"/>
                <w:b/>
                <w:sz w:val="18"/>
                <w:szCs w:val="18"/>
                <w:lang w:val="ro-MD"/>
              </w:rPr>
              <w:t xml:space="preserve"> (mii lei)</w:t>
            </w:r>
          </w:p>
        </w:tc>
        <w:tc>
          <w:tcPr>
            <w:tcW w:w="993" w:type="dxa"/>
            <w:vMerge/>
            <w:shd w:val="clear" w:color="auto" w:fill="DEEAF6" w:themeFill="accent1" w:themeFillTint="33"/>
            <w:vAlign w:val="center"/>
          </w:tcPr>
          <w:p w14:paraId="49F3957B" w14:textId="77777777" w:rsidR="0017283E" w:rsidRPr="00483DC7" w:rsidRDefault="0017283E" w:rsidP="00427F18">
            <w:pPr>
              <w:spacing w:line="276" w:lineRule="auto"/>
              <w:jc w:val="center"/>
              <w:rPr>
                <w:rFonts w:ascii="Times New Roman" w:hAnsi="Times New Roman" w:cs="Times New Roman"/>
                <w:b/>
                <w:sz w:val="18"/>
                <w:szCs w:val="18"/>
                <w:lang w:val="ro-MD"/>
              </w:rPr>
            </w:pPr>
          </w:p>
        </w:tc>
        <w:tc>
          <w:tcPr>
            <w:tcW w:w="1842" w:type="dxa"/>
            <w:gridSpan w:val="2"/>
            <w:shd w:val="clear" w:color="auto" w:fill="DEEAF6" w:themeFill="accent1" w:themeFillTint="33"/>
            <w:vAlign w:val="center"/>
          </w:tcPr>
          <w:p w14:paraId="20BA7A62" w14:textId="51CF6F69" w:rsidR="0017283E" w:rsidRPr="00483DC7" w:rsidRDefault="00FE09F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s</w:t>
            </w:r>
            <w:r w:rsidR="0017283E" w:rsidRPr="00483DC7">
              <w:rPr>
                <w:rFonts w:ascii="Times New Roman" w:hAnsi="Times New Roman" w:cs="Times New Roman"/>
                <w:b/>
                <w:sz w:val="18"/>
                <w:szCs w:val="18"/>
                <w:lang w:val="ro-MD"/>
              </w:rPr>
              <w:t>alariu de funcție</w:t>
            </w:r>
          </w:p>
        </w:tc>
        <w:tc>
          <w:tcPr>
            <w:tcW w:w="1134" w:type="dxa"/>
            <w:vMerge w:val="restart"/>
            <w:shd w:val="clear" w:color="auto" w:fill="DEEAF6" w:themeFill="accent1" w:themeFillTint="33"/>
            <w:vAlign w:val="center"/>
          </w:tcPr>
          <w:p w14:paraId="2CF5CE41" w14:textId="77777777" w:rsidR="0017283E" w:rsidRPr="00483DC7" w:rsidRDefault="0017283E" w:rsidP="00D97BD0">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Premii, </w:t>
            </w:r>
            <w:r w:rsidR="00D97BD0" w:rsidRPr="00483DC7">
              <w:rPr>
                <w:rFonts w:ascii="Times New Roman" w:hAnsi="Times New Roman" w:cs="Times New Roman"/>
                <w:b/>
                <w:sz w:val="18"/>
                <w:szCs w:val="18"/>
                <w:lang w:val="ro-MD"/>
              </w:rPr>
              <w:t>sporuri și adaosuri</w:t>
            </w:r>
            <w:r w:rsidRPr="00483DC7">
              <w:rPr>
                <w:rFonts w:ascii="Times New Roman" w:hAnsi="Times New Roman" w:cs="Times New Roman"/>
                <w:b/>
                <w:sz w:val="18"/>
                <w:szCs w:val="18"/>
                <w:lang w:val="ro-MD"/>
              </w:rPr>
              <w:t xml:space="preserve"> (mii lei)</w:t>
            </w:r>
          </w:p>
        </w:tc>
      </w:tr>
      <w:tr w:rsidR="0017283E" w:rsidRPr="00483DC7" w14:paraId="03971E8D" w14:textId="77777777" w:rsidTr="00D97BD0">
        <w:tc>
          <w:tcPr>
            <w:tcW w:w="1418" w:type="dxa"/>
            <w:vMerge/>
          </w:tcPr>
          <w:p w14:paraId="43C678D7" w14:textId="77777777" w:rsidR="0017283E" w:rsidRPr="00483DC7" w:rsidRDefault="0017283E" w:rsidP="00427F18">
            <w:pPr>
              <w:spacing w:line="276" w:lineRule="auto"/>
              <w:jc w:val="both"/>
              <w:rPr>
                <w:rFonts w:ascii="Times New Roman" w:hAnsi="Times New Roman" w:cs="Times New Roman"/>
                <w:b/>
                <w:sz w:val="18"/>
                <w:szCs w:val="18"/>
                <w:lang w:val="ro-MD"/>
              </w:rPr>
            </w:pPr>
          </w:p>
        </w:tc>
        <w:tc>
          <w:tcPr>
            <w:tcW w:w="992" w:type="dxa"/>
            <w:vMerge/>
          </w:tcPr>
          <w:p w14:paraId="3016A932" w14:textId="77777777" w:rsidR="0017283E" w:rsidRPr="00483DC7" w:rsidRDefault="0017283E" w:rsidP="00427F18">
            <w:pPr>
              <w:spacing w:line="276" w:lineRule="auto"/>
              <w:jc w:val="both"/>
              <w:rPr>
                <w:rFonts w:ascii="Times New Roman" w:hAnsi="Times New Roman" w:cs="Times New Roman"/>
                <w:b/>
                <w:sz w:val="18"/>
                <w:szCs w:val="18"/>
                <w:lang w:val="ro-MD"/>
              </w:rPr>
            </w:pPr>
          </w:p>
        </w:tc>
        <w:tc>
          <w:tcPr>
            <w:tcW w:w="851" w:type="dxa"/>
            <w:shd w:val="clear" w:color="auto" w:fill="DEEAF6" w:themeFill="accent1" w:themeFillTint="33"/>
            <w:vAlign w:val="center"/>
          </w:tcPr>
          <w:p w14:paraId="7065BBE0" w14:textId="543D6439" w:rsidR="0017283E" w:rsidRPr="00483DC7" w:rsidRDefault="00FE09F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s</w:t>
            </w:r>
            <w:r w:rsidR="0017283E" w:rsidRPr="00483DC7">
              <w:rPr>
                <w:rFonts w:ascii="Times New Roman" w:hAnsi="Times New Roman" w:cs="Times New Roman"/>
                <w:b/>
                <w:sz w:val="18"/>
                <w:szCs w:val="18"/>
                <w:lang w:val="ro-MD"/>
              </w:rPr>
              <w:t>uma (mii lei)</w:t>
            </w:r>
          </w:p>
        </w:tc>
        <w:tc>
          <w:tcPr>
            <w:tcW w:w="992" w:type="dxa"/>
            <w:shd w:val="clear" w:color="auto" w:fill="DEEAF6" w:themeFill="accent1" w:themeFillTint="33"/>
            <w:vAlign w:val="center"/>
          </w:tcPr>
          <w:p w14:paraId="09E582FB" w14:textId="089A0311" w:rsidR="0017283E" w:rsidRPr="00483DC7" w:rsidRDefault="00FE09FC" w:rsidP="00FE09FC">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p</w:t>
            </w:r>
            <w:r w:rsidR="0017283E" w:rsidRPr="00483DC7">
              <w:rPr>
                <w:rFonts w:ascii="Times New Roman" w:hAnsi="Times New Roman" w:cs="Times New Roman"/>
                <w:b/>
                <w:sz w:val="18"/>
                <w:szCs w:val="18"/>
                <w:lang w:val="ro-MD"/>
              </w:rPr>
              <w:t xml:space="preserve">onderea în </w:t>
            </w:r>
            <w:r>
              <w:rPr>
                <w:rFonts w:ascii="Times New Roman" w:hAnsi="Times New Roman" w:cs="Times New Roman"/>
                <w:b/>
                <w:sz w:val="18"/>
                <w:szCs w:val="18"/>
                <w:lang w:val="ro-MD"/>
              </w:rPr>
              <w:t>t</w:t>
            </w:r>
            <w:r w:rsidR="0017283E" w:rsidRPr="00483DC7">
              <w:rPr>
                <w:rFonts w:ascii="Times New Roman" w:hAnsi="Times New Roman" w:cs="Times New Roman"/>
                <w:b/>
                <w:sz w:val="18"/>
                <w:szCs w:val="18"/>
                <w:lang w:val="ro-MD"/>
              </w:rPr>
              <w:t>otal (%)</w:t>
            </w:r>
          </w:p>
        </w:tc>
        <w:tc>
          <w:tcPr>
            <w:tcW w:w="1134" w:type="dxa"/>
            <w:vMerge/>
            <w:shd w:val="clear" w:color="auto" w:fill="DEEAF6" w:themeFill="accent1" w:themeFillTint="33"/>
          </w:tcPr>
          <w:p w14:paraId="44DE7B60" w14:textId="77777777" w:rsidR="0017283E" w:rsidRPr="00483DC7" w:rsidRDefault="0017283E" w:rsidP="00427F18">
            <w:pPr>
              <w:spacing w:line="276" w:lineRule="auto"/>
              <w:jc w:val="both"/>
              <w:rPr>
                <w:rFonts w:ascii="Times New Roman" w:hAnsi="Times New Roman" w:cs="Times New Roman"/>
                <w:b/>
                <w:sz w:val="18"/>
                <w:szCs w:val="18"/>
                <w:lang w:val="ro-MD"/>
              </w:rPr>
            </w:pPr>
          </w:p>
        </w:tc>
        <w:tc>
          <w:tcPr>
            <w:tcW w:w="993" w:type="dxa"/>
            <w:vMerge/>
            <w:shd w:val="clear" w:color="auto" w:fill="DEEAF6" w:themeFill="accent1" w:themeFillTint="33"/>
          </w:tcPr>
          <w:p w14:paraId="262FE173" w14:textId="77777777" w:rsidR="0017283E" w:rsidRPr="00483DC7" w:rsidRDefault="0017283E" w:rsidP="00427F18">
            <w:pPr>
              <w:spacing w:line="276" w:lineRule="auto"/>
              <w:jc w:val="both"/>
              <w:rPr>
                <w:rFonts w:ascii="Times New Roman" w:hAnsi="Times New Roman" w:cs="Times New Roman"/>
                <w:b/>
                <w:sz w:val="18"/>
                <w:szCs w:val="18"/>
                <w:lang w:val="ro-MD"/>
              </w:rPr>
            </w:pPr>
          </w:p>
        </w:tc>
        <w:tc>
          <w:tcPr>
            <w:tcW w:w="850" w:type="dxa"/>
            <w:shd w:val="clear" w:color="auto" w:fill="DEEAF6" w:themeFill="accent1" w:themeFillTint="33"/>
            <w:vAlign w:val="center"/>
          </w:tcPr>
          <w:p w14:paraId="15E8CEDF" w14:textId="1D526C29" w:rsidR="0017283E" w:rsidRPr="00483DC7" w:rsidRDefault="00FE09FC" w:rsidP="00427F18">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s</w:t>
            </w:r>
            <w:r w:rsidR="0017283E" w:rsidRPr="00483DC7">
              <w:rPr>
                <w:rFonts w:ascii="Times New Roman" w:hAnsi="Times New Roman" w:cs="Times New Roman"/>
                <w:b/>
                <w:sz w:val="18"/>
                <w:szCs w:val="18"/>
                <w:lang w:val="ro-MD"/>
              </w:rPr>
              <w:t>uma (mii lei)</w:t>
            </w:r>
          </w:p>
        </w:tc>
        <w:tc>
          <w:tcPr>
            <w:tcW w:w="992" w:type="dxa"/>
            <w:shd w:val="clear" w:color="auto" w:fill="DEEAF6" w:themeFill="accent1" w:themeFillTint="33"/>
            <w:vAlign w:val="center"/>
          </w:tcPr>
          <w:p w14:paraId="1F550F8A" w14:textId="50A2ED9F" w:rsidR="0017283E" w:rsidRPr="00483DC7" w:rsidRDefault="00FE09FC" w:rsidP="00FE09FC">
            <w:pPr>
              <w:spacing w:line="276" w:lineRule="auto"/>
              <w:jc w:val="center"/>
              <w:rPr>
                <w:rFonts w:ascii="Times New Roman" w:hAnsi="Times New Roman" w:cs="Times New Roman"/>
                <w:b/>
                <w:sz w:val="18"/>
                <w:szCs w:val="18"/>
                <w:lang w:val="ro-MD"/>
              </w:rPr>
            </w:pPr>
            <w:r>
              <w:rPr>
                <w:rFonts w:ascii="Times New Roman" w:hAnsi="Times New Roman" w:cs="Times New Roman"/>
                <w:b/>
                <w:sz w:val="18"/>
                <w:szCs w:val="18"/>
                <w:lang w:val="ro-MD"/>
              </w:rPr>
              <w:t>p</w:t>
            </w:r>
            <w:r w:rsidR="0017283E" w:rsidRPr="00483DC7">
              <w:rPr>
                <w:rFonts w:ascii="Times New Roman" w:hAnsi="Times New Roman" w:cs="Times New Roman"/>
                <w:b/>
                <w:sz w:val="18"/>
                <w:szCs w:val="18"/>
                <w:lang w:val="ro-MD"/>
              </w:rPr>
              <w:t xml:space="preserve">onderea în </w:t>
            </w:r>
            <w:r>
              <w:rPr>
                <w:rFonts w:ascii="Times New Roman" w:hAnsi="Times New Roman" w:cs="Times New Roman"/>
                <w:b/>
                <w:sz w:val="18"/>
                <w:szCs w:val="18"/>
                <w:lang w:val="ro-MD"/>
              </w:rPr>
              <w:t>t</w:t>
            </w:r>
            <w:r w:rsidR="0017283E" w:rsidRPr="00483DC7">
              <w:rPr>
                <w:rFonts w:ascii="Times New Roman" w:hAnsi="Times New Roman" w:cs="Times New Roman"/>
                <w:b/>
                <w:sz w:val="18"/>
                <w:szCs w:val="18"/>
                <w:lang w:val="ro-MD"/>
              </w:rPr>
              <w:t>otal (%)</w:t>
            </w:r>
          </w:p>
        </w:tc>
        <w:tc>
          <w:tcPr>
            <w:tcW w:w="1134" w:type="dxa"/>
            <w:vMerge/>
          </w:tcPr>
          <w:p w14:paraId="1D41E266" w14:textId="77777777" w:rsidR="0017283E" w:rsidRPr="00483DC7" w:rsidRDefault="0017283E" w:rsidP="00427F18">
            <w:pPr>
              <w:spacing w:line="276" w:lineRule="auto"/>
              <w:jc w:val="both"/>
              <w:rPr>
                <w:rFonts w:ascii="Times New Roman" w:hAnsi="Times New Roman" w:cs="Times New Roman"/>
                <w:b/>
                <w:sz w:val="18"/>
                <w:szCs w:val="18"/>
                <w:lang w:val="ro-MD"/>
              </w:rPr>
            </w:pPr>
          </w:p>
        </w:tc>
      </w:tr>
      <w:tr w:rsidR="0017283E" w:rsidRPr="00483DC7" w14:paraId="41D5ABA5" w14:textId="77777777" w:rsidTr="00D97BD0">
        <w:tc>
          <w:tcPr>
            <w:tcW w:w="1418" w:type="dxa"/>
            <w:vAlign w:val="center"/>
          </w:tcPr>
          <w:p w14:paraId="577BC33D"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ADMA</w:t>
            </w:r>
          </w:p>
        </w:tc>
        <w:tc>
          <w:tcPr>
            <w:tcW w:w="992" w:type="dxa"/>
            <w:vAlign w:val="center"/>
          </w:tcPr>
          <w:p w14:paraId="41FDE7F5"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487,84</w:t>
            </w:r>
          </w:p>
        </w:tc>
        <w:tc>
          <w:tcPr>
            <w:tcW w:w="851" w:type="dxa"/>
            <w:vAlign w:val="center"/>
          </w:tcPr>
          <w:p w14:paraId="44B871F4"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456,70</w:t>
            </w:r>
          </w:p>
        </w:tc>
        <w:tc>
          <w:tcPr>
            <w:tcW w:w="992" w:type="dxa"/>
            <w:vAlign w:val="center"/>
          </w:tcPr>
          <w:p w14:paraId="72F87035"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93,62</w:t>
            </w:r>
          </w:p>
        </w:tc>
        <w:tc>
          <w:tcPr>
            <w:tcW w:w="1134" w:type="dxa"/>
            <w:vAlign w:val="center"/>
          </w:tcPr>
          <w:p w14:paraId="3FF5A7E6"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31,14</w:t>
            </w:r>
          </w:p>
        </w:tc>
        <w:tc>
          <w:tcPr>
            <w:tcW w:w="993" w:type="dxa"/>
            <w:vAlign w:val="center"/>
          </w:tcPr>
          <w:p w14:paraId="4E370C21"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582,33</w:t>
            </w:r>
          </w:p>
        </w:tc>
        <w:tc>
          <w:tcPr>
            <w:tcW w:w="850" w:type="dxa"/>
            <w:vAlign w:val="center"/>
          </w:tcPr>
          <w:p w14:paraId="30D92535"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487,44</w:t>
            </w:r>
          </w:p>
        </w:tc>
        <w:tc>
          <w:tcPr>
            <w:tcW w:w="992" w:type="dxa"/>
            <w:vAlign w:val="center"/>
          </w:tcPr>
          <w:p w14:paraId="15752637"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83,71</w:t>
            </w:r>
          </w:p>
        </w:tc>
        <w:tc>
          <w:tcPr>
            <w:tcW w:w="1134" w:type="dxa"/>
            <w:vAlign w:val="center"/>
          </w:tcPr>
          <w:p w14:paraId="4A47DC27"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94,89</w:t>
            </w:r>
          </w:p>
        </w:tc>
      </w:tr>
      <w:tr w:rsidR="0017283E" w:rsidRPr="00483DC7" w14:paraId="3FEE46C6" w14:textId="77777777" w:rsidTr="00D97BD0">
        <w:tc>
          <w:tcPr>
            <w:tcW w:w="1418" w:type="dxa"/>
            <w:vAlign w:val="center"/>
          </w:tcPr>
          <w:p w14:paraId="3D26ACDD"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OGPAE</w:t>
            </w:r>
          </w:p>
        </w:tc>
        <w:tc>
          <w:tcPr>
            <w:tcW w:w="992" w:type="dxa"/>
            <w:vAlign w:val="center"/>
          </w:tcPr>
          <w:p w14:paraId="0FC25E8C"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896,51</w:t>
            </w:r>
          </w:p>
        </w:tc>
        <w:tc>
          <w:tcPr>
            <w:tcW w:w="851" w:type="dxa"/>
            <w:vAlign w:val="center"/>
          </w:tcPr>
          <w:p w14:paraId="2EB1E68B"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361,62</w:t>
            </w:r>
          </w:p>
        </w:tc>
        <w:tc>
          <w:tcPr>
            <w:tcW w:w="992" w:type="dxa"/>
            <w:vAlign w:val="center"/>
          </w:tcPr>
          <w:p w14:paraId="79E6397C"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40,34</w:t>
            </w:r>
          </w:p>
        </w:tc>
        <w:tc>
          <w:tcPr>
            <w:tcW w:w="1134" w:type="dxa"/>
            <w:vAlign w:val="center"/>
          </w:tcPr>
          <w:p w14:paraId="103845D5"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534,89</w:t>
            </w:r>
          </w:p>
        </w:tc>
        <w:tc>
          <w:tcPr>
            <w:tcW w:w="993" w:type="dxa"/>
            <w:vAlign w:val="center"/>
          </w:tcPr>
          <w:p w14:paraId="59DBB28D"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838,07</w:t>
            </w:r>
          </w:p>
        </w:tc>
        <w:tc>
          <w:tcPr>
            <w:tcW w:w="850" w:type="dxa"/>
            <w:vAlign w:val="center"/>
          </w:tcPr>
          <w:p w14:paraId="5C5DB193"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396,77</w:t>
            </w:r>
          </w:p>
        </w:tc>
        <w:tc>
          <w:tcPr>
            <w:tcW w:w="992" w:type="dxa"/>
            <w:vAlign w:val="center"/>
          </w:tcPr>
          <w:p w14:paraId="117232E4"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47,34</w:t>
            </w:r>
          </w:p>
        </w:tc>
        <w:tc>
          <w:tcPr>
            <w:tcW w:w="1134" w:type="dxa"/>
            <w:vAlign w:val="center"/>
          </w:tcPr>
          <w:p w14:paraId="65170A2D"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441,30</w:t>
            </w:r>
          </w:p>
        </w:tc>
      </w:tr>
      <w:tr w:rsidR="0017283E" w:rsidRPr="00483DC7" w14:paraId="4CC7218E" w14:textId="77777777" w:rsidTr="00D97BD0">
        <w:tc>
          <w:tcPr>
            <w:tcW w:w="1418" w:type="dxa"/>
            <w:vAlign w:val="center"/>
          </w:tcPr>
          <w:p w14:paraId="331DFF62"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ONDRL</w:t>
            </w:r>
          </w:p>
        </w:tc>
        <w:tc>
          <w:tcPr>
            <w:tcW w:w="992" w:type="dxa"/>
            <w:vAlign w:val="center"/>
          </w:tcPr>
          <w:p w14:paraId="20DB2A32" w14:textId="12FB3FAF" w:rsidR="0017283E" w:rsidRPr="00483DC7" w:rsidRDefault="00F61C83"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513,63</w:t>
            </w:r>
          </w:p>
        </w:tc>
        <w:tc>
          <w:tcPr>
            <w:tcW w:w="851" w:type="dxa"/>
            <w:vAlign w:val="center"/>
          </w:tcPr>
          <w:p w14:paraId="12EE809B" w14:textId="1A993449" w:rsidR="0017283E" w:rsidRPr="00483DC7" w:rsidRDefault="005214A5"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444,25</w:t>
            </w:r>
          </w:p>
        </w:tc>
        <w:tc>
          <w:tcPr>
            <w:tcW w:w="992" w:type="dxa"/>
            <w:vAlign w:val="center"/>
          </w:tcPr>
          <w:p w14:paraId="62C875E0" w14:textId="3C7BCED2" w:rsidR="0017283E" w:rsidRPr="00483DC7" w:rsidRDefault="005214A5"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86,49</w:t>
            </w:r>
          </w:p>
        </w:tc>
        <w:tc>
          <w:tcPr>
            <w:tcW w:w="1134" w:type="dxa"/>
            <w:vAlign w:val="center"/>
          </w:tcPr>
          <w:p w14:paraId="3F5EFBB9" w14:textId="6159F420" w:rsidR="0017283E" w:rsidRPr="00483DC7" w:rsidRDefault="003F186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69,38</w:t>
            </w:r>
          </w:p>
        </w:tc>
        <w:tc>
          <w:tcPr>
            <w:tcW w:w="993" w:type="dxa"/>
            <w:vAlign w:val="center"/>
          </w:tcPr>
          <w:p w14:paraId="39EBD0E2" w14:textId="77705B68" w:rsidR="0017283E" w:rsidRPr="00483DC7" w:rsidRDefault="003F186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601,48</w:t>
            </w:r>
          </w:p>
        </w:tc>
        <w:tc>
          <w:tcPr>
            <w:tcW w:w="850" w:type="dxa"/>
            <w:vAlign w:val="center"/>
          </w:tcPr>
          <w:p w14:paraId="26B93E6D" w14:textId="0189C19B" w:rsidR="0017283E" w:rsidRPr="00483DC7" w:rsidRDefault="003F186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352,70</w:t>
            </w:r>
          </w:p>
        </w:tc>
        <w:tc>
          <w:tcPr>
            <w:tcW w:w="992" w:type="dxa"/>
            <w:vAlign w:val="center"/>
          </w:tcPr>
          <w:p w14:paraId="2B9CAAA6" w14:textId="649450F9" w:rsidR="0017283E" w:rsidRPr="00483DC7" w:rsidRDefault="003F186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58,64</w:t>
            </w:r>
          </w:p>
        </w:tc>
        <w:tc>
          <w:tcPr>
            <w:tcW w:w="1134" w:type="dxa"/>
            <w:vAlign w:val="center"/>
          </w:tcPr>
          <w:p w14:paraId="344B6DFC" w14:textId="10A48441" w:rsidR="0017283E" w:rsidRPr="00483DC7" w:rsidRDefault="003F186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248,78</w:t>
            </w:r>
          </w:p>
        </w:tc>
      </w:tr>
      <w:tr w:rsidR="0017283E" w:rsidRPr="00483DC7" w14:paraId="67276B0B" w14:textId="77777777" w:rsidTr="00D97BD0">
        <w:tc>
          <w:tcPr>
            <w:tcW w:w="1418" w:type="dxa"/>
            <w:vAlign w:val="center"/>
          </w:tcPr>
          <w:p w14:paraId="0E5F2998"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ONIPM</w:t>
            </w:r>
          </w:p>
        </w:tc>
        <w:tc>
          <w:tcPr>
            <w:tcW w:w="992" w:type="dxa"/>
            <w:vAlign w:val="center"/>
          </w:tcPr>
          <w:p w14:paraId="73CB59FF"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317,97</w:t>
            </w:r>
          </w:p>
        </w:tc>
        <w:tc>
          <w:tcPr>
            <w:tcW w:w="851" w:type="dxa"/>
            <w:vAlign w:val="center"/>
          </w:tcPr>
          <w:p w14:paraId="5B488B2A"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317,97</w:t>
            </w:r>
          </w:p>
        </w:tc>
        <w:tc>
          <w:tcPr>
            <w:tcW w:w="992" w:type="dxa"/>
            <w:vAlign w:val="center"/>
          </w:tcPr>
          <w:p w14:paraId="090FAA18"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38FD1A69" w14:textId="32821DF6"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60EAF0C1"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373,27</w:t>
            </w:r>
          </w:p>
        </w:tc>
        <w:tc>
          <w:tcPr>
            <w:tcW w:w="850" w:type="dxa"/>
            <w:vAlign w:val="center"/>
          </w:tcPr>
          <w:p w14:paraId="30230850"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373,27</w:t>
            </w:r>
          </w:p>
        </w:tc>
        <w:tc>
          <w:tcPr>
            <w:tcW w:w="992" w:type="dxa"/>
            <w:vAlign w:val="center"/>
          </w:tcPr>
          <w:p w14:paraId="4B02A3A1"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3F4C24AA" w14:textId="1EC55A65"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711F7451" w14:textId="77777777" w:rsidTr="00D97BD0">
        <w:tc>
          <w:tcPr>
            <w:tcW w:w="1418" w:type="dxa"/>
            <w:vAlign w:val="center"/>
          </w:tcPr>
          <w:p w14:paraId="6E42644D"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UCIMPA</w:t>
            </w:r>
          </w:p>
        </w:tc>
        <w:tc>
          <w:tcPr>
            <w:tcW w:w="992" w:type="dxa"/>
            <w:vAlign w:val="center"/>
          </w:tcPr>
          <w:p w14:paraId="040EDFFA"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612,36</w:t>
            </w:r>
          </w:p>
        </w:tc>
        <w:tc>
          <w:tcPr>
            <w:tcW w:w="851" w:type="dxa"/>
            <w:vAlign w:val="center"/>
          </w:tcPr>
          <w:p w14:paraId="49B332FE"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612,36</w:t>
            </w:r>
          </w:p>
        </w:tc>
        <w:tc>
          <w:tcPr>
            <w:tcW w:w="992" w:type="dxa"/>
            <w:vAlign w:val="center"/>
          </w:tcPr>
          <w:p w14:paraId="7AB80473"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008FA93E" w14:textId="080CB4F8"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225C4D92"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598,76</w:t>
            </w:r>
          </w:p>
        </w:tc>
        <w:tc>
          <w:tcPr>
            <w:tcW w:w="850" w:type="dxa"/>
            <w:vAlign w:val="center"/>
          </w:tcPr>
          <w:p w14:paraId="4A18ADA9"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598,76</w:t>
            </w:r>
          </w:p>
        </w:tc>
        <w:tc>
          <w:tcPr>
            <w:tcW w:w="992" w:type="dxa"/>
            <w:vAlign w:val="center"/>
          </w:tcPr>
          <w:p w14:paraId="2FCB06A6"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1ACACCCC" w14:textId="686ED0A4"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7F5B7ED6" w14:textId="77777777" w:rsidTr="00D97BD0">
        <w:tc>
          <w:tcPr>
            <w:tcW w:w="1418" w:type="dxa"/>
            <w:vAlign w:val="center"/>
          </w:tcPr>
          <w:p w14:paraId="5EBE28D5"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UCIMP DS</w:t>
            </w:r>
          </w:p>
        </w:tc>
        <w:tc>
          <w:tcPr>
            <w:tcW w:w="992" w:type="dxa"/>
            <w:vAlign w:val="center"/>
          </w:tcPr>
          <w:p w14:paraId="40315250"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488,99</w:t>
            </w:r>
          </w:p>
        </w:tc>
        <w:tc>
          <w:tcPr>
            <w:tcW w:w="851" w:type="dxa"/>
            <w:vAlign w:val="center"/>
          </w:tcPr>
          <w:p w14:paraId="3F2FA639"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488,99</w:t>
            </w:r>
          </w:p>
        </w:tc>
        <w:tc>
          <w:tcPr>
            <w:tcW w:w="992" w:type="dxa"/>
            <w:vAlign w:val="center"/>
          </w:tcPr>
          <w:p w14:paraId="2208A669"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40E4CB7B" w14:textId="420C0633"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245F1683"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618,97</w:t>
            </w:r>
          </w:p>
        </w:tc>
        <w:tc>
          <w:tcPr>
            <w:tcW w:w="850" w:type="dxa"/>
            <w:vAlign w:val="center"/>
          </w:tcPr>
          <w:p w14:paraId="6EEF577C"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618,97</w:t>
            </w:r>
          </w:p>
        </w:tc>
        <w:tc>
          <w:tcPr>
            <w:tcW w:w="992" w:type="dxa"/>
            <w:vAlign w:val="center"/>
          </w:tcPr>
          <w:p w14:paraId="6EFC1D37"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58F9B9D8" w14:textId="63865EDF"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A73D3E" w:rsidRPr="00483DC7" w14:paraId="5C01E63A" w14:textId="77777777" w:rsidTr="00D97BD0">
        <w:tc>
          <w:tcPr>
            <w:tcW w:w="1418" w:type="dxa"/>
            <w:vAlign w:val="center"/>
          </w:tcPr>
          <w:p w14:paraId="2634BA61" w14:textId="218424D2" w:rsidR="00A73D3E" w:rsidRPr="00483DC7" w:rsidRDefault="00A73D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UCIMPRSVV</w:t>
            </w:r>
          </w:p>
        </w:tc>
        <w:tc>
          <w:tcPr>
            <w:tcW w:w="992" w:type="dxa"/>
            <w:vAlign w:val="center"/>
          </w:tcPr>
          <w:p w14:paraId="4FDEF441" w14:textId="7FC58CDC" w:rsidR="00A73D3E" w:rsidRPr="00483DC7" w:rsidRDefault="001C2F88"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409,82</w:t>
            </w:r>
          </w:p>
        </w:tc>
        <w:tc>
          <w:tcPr>
            <w:tcW w:w="851" w:type="dxa"/>
            <w:vAlign w:val="center"/>
          </w:tcPr>
          <w:p w14:paraId="374D335C" w14:textId="1DDF593C" w:rsidR="00A73D3E" w:rsidRPr="00483DC7" w:rsidRDefault="001C2F88"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409,82</w:t>
            </w:r>
          </w:p>
        </w:tc>
        <w:tc>
          <w:tcPr>
            <w:tcW w:w="992" w:type="dxa"/>
            <w:vAlign w:val="center"/>
          </w:tcPr>
          <w:p w14:paraId="27B830C8" w14:textId="027F1A02" w:rsidR="00A73D3E" w:rsidRPr="00483DC7" w:rsidRDefault="001C2F88"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603432C2" w14:textId="59BD9342" w:rsidR="00A73D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4D8C2EF7" w14:textId="35C68762" w:rsidR="00A73D3E" w:rsidRPr="00483DC7" w:rsidRDefault="00A73D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412,97</w:t>
            </w:r>
          </w:p>
        </w:tc>
        <w:tc>
          <w:tcPr>
            <w:tcW w:w="850" w:type="dxa"/>
            <w:vAlign w:val="center"/>
          </w:tcPr>
          <w:p w14:paraId="15F2A88D" w14:textId="26BFE2F9" w:rsidR="00A73D3E" w:rsidRPr="00483DC7" w:rsidRDefault="00A73D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412,97</w:t>
            </w:r>
          </w:p>
        </w:tc>
        <w:tc>
          <w:tcPr>
            <w:tcW w:w="992" w:type="dxa"/>
            <w:vAlign w:val="center"/>
          </w:tcPr>
          <w:p w14:paraId="1938F581" w14:textId="15ADF0D4" w:rsidR="00A73D3E" w:rsidRPr="00483DC7" w:rsidRDefault="00A73D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392F05E5" w14:textId="44B2E45A" w:rsidR="00A73D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1BB0AF6B" w14:textId="77777777" w:rsidTr="00D97BD0">
        <w:tc>
          <w:tcPr>
            <w:tcW w:w="1418" w:type="dxa"/>
            <w:vAlign w:val="center"/>
          </w:tcPr>
          <w:p w14:paraId="2B5B1169"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UCIPE</w:t>
            </w:r>
          </w:p>
        </w:tc>
        <w:tc>
          <w:tcPr>
            <w:tcW w:w="992" w:type="dxa"/>
            <w:vAlign w:val="center"/>
          </w:tcPr>
          <w:p w14:paraId="5FB7BD23" w14:textId="4BE20752" w:rsidR="0017283E"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844,26</w:t>
            </w:r>
          </w:p>
        </w:tc>
        <w:tc>
          <w:tcPr>
            <w:tcW w:w="851" w:type="dxa"/>
            <w:vAlign w:val="center"/>
          </w:tcPr>
          <w:p w14:paraId="26DFD94F" w14:textId="2C087460" w:rsidR="0017283E" w:rsidRPr="00483DC7" w:rsidRDefault="001465E4" w:rsidP="001465E4">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844,26</w:t>
            </w:r>
          </w:p>
        </w:tc>
        <w:tc>
          <w:tcPr>
            <w:tcW w:w="992" w:type="dxa"/>
            <w:vAlign w:val="center"/>
          </w:tcPr>
          <w:p w14:paraId="74A06D42"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498C7AB5" w14:textId="5EE007AB"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2D4C43CD" w14:textId="44F71C6E" w:rsidR="0017283E"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698,95</w:t>
            </w:r>
          </w:p>
        </w:tc>
        <w:tc>
          <w:tcPr>
            <w:tcW w:w="850" w:type="dxa"/>
            <w:vAlign w:val="center"/>
          </w:tcPr>
          <w:p w14:paraId="61D1E557" w14:textId="2B7F7CC6" w:rsidR="0017283E" w:rsidRPr="00483DC7" w:rsidRDefault="001465E4"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608,35</w:t>
            </w:r>
          </w:p>
        </w:tc>
        <w:tc>
          <w:tcPr>
            <w:tcW w:w="992" w:type="dxa"/>
            <w:vAlign w:val="center"/>
          </w:tcPr>
          <w:p w14:paraId="4C581A97" w14:textId="73941AA6" w:rsidR="0017283E" w:rsidRPr="00483DC7" w:rsidRDefault="0017283E" w:rsidP="001465E4">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87,</w:t>
            </w:r>
            <w:r w:rsidR="001465E4" w:rsidRPr="00483DC7">
              <w:rPr>
                <w:rFonts w:ascii="Times New Roman" w:hAnsi="Times New Roman" w:cs="Times New Roman"/>
                <w:sz w:val="18"/>
                <w:szCs w:val="18"/>
                <w:lang w:val="ro-MD"/>
              </w:rPr>
              <w:t>04</w:t>
            </w:r>
          </w:p>
        </w:tc>
        <w:tc>
          <w:tcPr>
            <w:tcW w:w="1134" w:type="dxa"/>
            <w:vAlign w:val="center"/>
          </w:tcPr>
          <w:p w14:paraId="6B00E07B"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90,60</w:t>
            </w:r>
          </w:p>
        </w:tc>
      </w:tr>
      <w:tr w:rsidR="0017283E" w:rsidRPr="00483DC7" w14:paraId="770424FD" w14:textId="77777777" w:rsidTr="00D97BD0">
        <w:tc>
          <w:tcPr>
            <w:tcW w:w="1418" w:type="dxa"/>
            <w:vAlign w:val="center"/>
          </w:tcPr>
          <w:p w14:paraId="64466287"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UCIP IFAD</w:t>
            </w:r>
          </w:p>
        </w:tc>
        <w:tc>
          <w:tcPr>
            <w:tcW w:w="992" w:type="dxa"/>
            <w:vAlign w:val="center"/>
          </w:tcPr>
          <w:p w14:paraId="7B3EB9E5"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486,19</w:t>
            </w:r>
          </w:p>
        </w:tc>
        <w:tc>
          <w:tcPr>
            <w:tcW w:w="851" w:type="dxa"/>
            <w:vAlign w:val="center"/>
          </w:tcPr>
          <w:p w14:paraId="306E72C4"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486,19</w:t>
            </w:r>
          </w:p>
        </w:tc>
        <w:tc>
          <w:tcPr>
            <w:tcW w:w="992" w:type="dxa"/>
            <w:vAlign w:val="center"/>
          </w:tcPr>
          <w:p w14:paraId="18358453"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582223B1" w14:textId="38B53800"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30C01857"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506,96</w:t>
            </w:r>
          </w:p>
        </w:tc>
        <w:tc>
          <w:tcPr>
            <w:tcW w:w="850" w:type="dxa"/>
            <w:vAlign w:val="center"/>
          </w:tcPr>
          <w:p w14:paraId="54728FAE"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506,96</w:t>
            </w:r>
          </w:p>
        </w:tc>
        <w:tc>
          <w:tcPr>
            <w:tcW w:w="992" w:type="dxa"/>
            <w:vAlign w:val="center"/>
          </w:tcPr>
          <w:p w14:paraId="49FEEA64"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5372D28C" w14:textId="6EADBE58"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25034FA9" w14:textId="77777777" w:rsidTr="00D97BD0">
        <w:tc>
          <w:tcPr>
            <w:tcW w:w="1418" w:type="dxa"/>
            <w:vAlign w:val="center"/>
          </w:tcPr>
          <w:p w14:paraId="750BFFD5"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UIPAC</w:t>
            </w:r>
          </w:p>
        </w:tc>
        <w:tc>
          <w:tcPr>
            <w:tcW w:w="992" w:type="dxa"/>
            <w:vAlign w:val="center"/>
          </w:tcPr>
          <w:p w14:paraId="68628D61"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433,54</w:t>
            </w:r>
          </w:p>
        </w:tc>
        <w:tc>
          <w:tcPr>
            <w:tcW w:w="851" w:type="dxa"/>
            <w:vAlign w:val="center"/>
          </w:tcPr>
          <w:p w14:paraId="27D6BDF2"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433,54</w:t>
            </w:r>
          </w:p>
        </w:tc>
        <w:tc>
          <w:tcPr>
            <w:tcW w:w="992" w:type="dxa"/>
            <w:vAlign w:val="center"/>
          </w:tcPr>
          <w:p w14:paraId="7441C27B"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19CED329" w14:textId="105E78C1"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2E8783B8"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549,64</w:t>
            </w:r>
          </w:p>
        </w:tc>
        <w:tc>
          <w:tcPr>
            <w:tcW w:w="850" w:type="dxa"/>
            <w:vAlign w:val="center"/>
          </w:tcPr>
          <w:p w14:paraId="1FD4E9AF"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549,64</w:t>
            </w:r>
          </w:p>
        </w:tc>
        <w:tc>
          <w:tcPr>
            <w:tcW w:w="992" w:type="dxa"/>
            <w:vAlign w:val="center"/>
          </w:tcPr>
          <w:p w14:paraId="4615AF1F"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48EC1C37" w14:textId="0C88ACC7"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154834BA" w14:textId="77777777" w:rsidTr="00D97BD0">
        <w:tc>
          <w:tcPr>
            <w:tcW w:w="1418" w:type="dxa"/>
            <w:vAlign w:val="center"/>
          </w:tcPr>
          <w:p w14:paraId="0B13CC88"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UIPCLPV II</w:t>
            </w:r>
          </w:p>
        </w:tc>
        <w:tc>
          <w:tcPr>
            <w:tcW w:w="992" w:type="dxa"/>
            <w:vAlign w:val="center"/>
          </w:tcPr>
          <w:p w14:paraId="119A317C"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354,66</w:t>
            </w:r>
          </w:p>
        </w:tc>
        <w:tc>
          <w:tcPr>
            <w:tcW w:w="851" w:type="dxa"/>
            <w:vAlign w:val="center"/>
          </w:tcPr>
          <w:p w14:paraId="63691EBD"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354,66</w:t>
            </w:r>
          </w:p>
        </w:tc>
        <w:tc>
          <w:tcPr>
            <w:tcW w:w="992" w:type="dxa"/>
            <w:vAlign w:val="center"/>
          </w:tcPr>
          <w:p w14:paraId="52CD1772"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210941A3" w14:textId="3C1824E8"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7B27E028"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452,20</w:t>
            </w:r>
          </w:p>
        </w:tc>
        <w:tc>
          <w:tcPr>
            <w:tcW w:w="850" w:type="dxa"/>
            <w:vAlign w:val="center"/>
          </w:tcPr>
          <w:p w14:paraId="43CF457C"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452,20</w:t>
            </w:r>
          </w:p>
        </w:tc>
        <w:tc>
          <w:tcPr>
            <w:tcW w:w="992" w:type="dxa"/>
            <w:vAlign w:val="center"/>
          </w:tcPr>
          <w:p w14:paraId="01A96FB5"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5C2F1512" w14:textId="4E52D45A"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17283E" w:rsidRPr="00483DC7" w14:paraId="4B8A3122" w14:textId="77777777" w:rsidTr="00D97BD0">
        <w:tc>
          <w:tcPr>
            <w:tcW w:w="1418" w:type="dxa"/>
            <w:vAlign w:val="center"/>
          </w:tcPr>
          <w:p w14:paraId="0E1B72B4" w14:textId="77777777" w:rsidR="0017283E" w:rsidRPr="00483DC7" w:rsidRDefault="0017283E" w:rsidP="00427F18">
            <w:pPr>
              <w:spacing w:line="276" w:lineRule="auto"/>
              <w:rPr>
                <w:rFonts w:ascii="Times New Roman" w:hAnsi="Times New Roman" w:cs="Times New Roman"/>
                <w:sz w:val="18"/>
                <w:szCs w:val="18"/>
                <w:lang w:val="ro-MD"/>
              </w:rPr>
            </w:pPr>
            <w:r w:rsidRPr="00483DC7">
              <w:rPr>
                <w:rFonts w:ascii="Times New Roman" w:hAnsi="Times New Roman" w:cs="Times New Roman"/>
                <w:sz w:val="18"/>
                <w:szCs w:val="18"/>
                <w:lang w:val="ro-MD"/>
              </w:rPr>
              <w:t>UIPCPC</w:t>
            </w:r>
          </w:p>
        </w:tc>
        <w:tc>
          <w:tcPr>
            <w:tcW w:w="992" w:type="dxa"/>
            <w:vAlign w:val="center"/>
          </w:tcPr>
          <w:p w14:paraId="4E0C2088"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253,71</w:t>
            </w:r>
          </w:p>
        </w:tc>
        <w:tc>
          <w:tcPr>
            <w:tcW w:w="851" w:type="dxa"/>
            <w:vAlign w:val="center"/>
          </w:tcPr>
          <w:p w14:paraId="4248E3A3"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253,71</w:t>
            </w:r>
          </w:p>
        </w:tc>
        <w:tc>
          <w:tcPr>
            <w:tcW w:w="992" w:type="dxa"/>
            <w:vAlign w:val="center"/>
          </w:tcPr>
          <w:p w14:paraId="0151C314"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38B58818" w14:textId="17CCBF07"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c>
          <w:tcPr>
            <w:tcW w:w="993" w:type="dxa"/>
            <w:vAlign w:val="center"/>
          </w:tcPr>
          <w:p w14:paraId="2732D28B" w14:textId="77777777" w:rsidR="0017283E" w:rsidRPr="00483DC7" w:rsidRDefault="0017283E"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748,05</w:t>
            </w:r>
          </w:p>
        </w:tc>
        <w:tc>
          <w:tcPr>
            <w:tcW w:w="850" w:type="dxa"/>
            <w:vAlign w:val="center"/>
          </w:tcPr>
          <w:p w14:paraId="63C3EAEC"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748,05</w:t>
            </w:r>
          </w:p>
        </w:tc>
        <w:tc>
          <w:tcPr>
            <w:tcW w:w="992" w:type="dxa"/>
            <w:vAlign w:val="center"/>
          </w:tcPr>
          <w:p w14:paraId="6E184410" w14:textId="77777777" w:rsidR="0017283E" w:rsidRPr="00483DC7" w:rsidRDefault="0017283E" w:rsidP="00427F18">
            <w:pPr>
              <w:spacing w:line="276" w:lineRule="auto"/>
              <w:jc w:val="right"/>
              <w:rPr>
                <w:rFonts w:ascii="Times New Roman" w:hAnsi="Times New Roman" w:cs="Times New Roman"/>
                <w:sz w:val="18"/>
                <w:szCs w:val="18"/>
                <w:lang w:val="ro-MD"/>
              </w:rPr>
            </w:pPr>
            <w:r w:rsidRPr="00483DC7">
              <w:rPr>
                <w:rFonts w:ascii="Times New Roman" w:hAnsi="Times New Roman" w:cs="Times New Roman"/>
                <w:sz w:val="18"/>
                <w:szCs w:val="18"/>
                <w:lang w:val="ro-MD"/>
              </w:rPr>
              <w:t>100,00</w:t>
            </w:r>
          </w:p>
        </w:tc>
        <w:tc>
          <w:tcPr>
            <w:tcW w:w="1134" w:type="dxa"/>
            <w:vAlign w:val="center"/>
          </w:tcPr>
          <w:p w14:paraId="33F7FBF8" w14:textId="16634BE1" w:rsidR="0017283E" w:rsidRPr="00483DC7" w:rsidRDefault="008A1B1C" w:rsidP="008A1B1C">
            <w:pPr>
              <w:spacing w:line="276" w:lineRule="auto"/>
              <w:jc w:val="center"/>
              <w:rPr>
                <w:rFonts w:ascii="Times New Roman" w:hAnsi="Times New Roman" w:cs="Times New Roman"/>
                <w:sz w:val="18"/>
                <w:szCs w:val="18"/>
                <w:lang w:val="ro-MD"/>
              </w:rPr>
            </w:pPr>
            <w:r>
              <w:rPr>
                <w:rFonts w:ascii="Times New Roman" w:hAnsi="Times New Roman" w:cs="Times New Roman"/>
                <w:sz w:val="18"/>
                <w:szCs w:val="18"/>
                <w:lang w:val="ro-MD"/>
              </w:rPr>
              <w:t>-</w:t>
            </w:r>
          </w:p>
        </w:tc>
      </w:tr>
      <w:tr w:rsidR="00427F18" w:rsidRPr="00483DC7" w14:paraId="1BB9F9F6" w14:textId="77777777" w:rsidTr="00D97BD0">
        <w:tc>
          <w:tcPr>
            <w:tcW w:w="1418" w:type="dxa"/>
            <w:shd w:val="clear" w:color="auto" w:fill="FFF2CC" w:themeFill="accent4" w:themeFillTint="33"/>
            <w:vAlign w:val="center"/>
          </w:tcPr>
          <w:p w14:paraId="0F8BCF9A" w14:textId="77777777" w:rsidR="00427F18" w:rsidRPr="00483DC7" w:rsidRDefault="00427F18" w:rsidP="00427F18">
            <w:pPr>
              <w:spacing w:line="276" w:lineRule="auto"/>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TOTAL</w:t>
            </w:r>
          </w:p>
        </w:tc>
        <w:tc>
          <w:tcPr>
            <w:tcW w:w="992" w:type="dxa"/>
            <w:shd w:val="clear" w:color="auto" w:fill="FFF2CC" w:themeFill="accent4" w:themeFillTint="33"/>
            <w:vAlign w:val="center"/>
          </w:tcPr>
          <w:p w14:paraId="01A81028" w14:textId="04FC4EB6" w:rsidR="00427F18"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6.099,48</w:t>
            </w:r>
          </w:p>
        </w:tc>
        <w:tc>
          <w:tcPr>
            <w:tcW w:w="851" w:type="dxa"/>
            <w:shd w:val="clear" w:color="auto" w:fill="FFF2CC" w:themeFill="accent4" w:themeFillTint="33"/>
            <w:vAlign w:val="center"/>
          </w:tcPr>
          <w:p w14:paraId="27806D67" w14:textId="4C547BBF" w:rsidR="00427F18"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5.464,07</w:t>
            </w:r>
          </w:p>
        </w:tc>
        <w:tc>
          <w:tcPr>
            <w:tcW w:w="992" w:type="dxa"/>
            <w:shd w:val="clear" w:color="auto" w:fill="FFF2CC" w:themeFill="accent4" w:themeFillTint="33"/>
            <w:vAlign w:val="center"/>
          </w:tcPr>
          <w:p w14:paraId="04F1DBF8" w14:textId="40245D84" w:rsidR="00427F18"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89,58</w:t>
            </w:r>
          </w:p>
        </w:tc>
        <w:tc>
          <w:tcPr>
            <w:tcW w:w="1134" w:type="dxa"/>
            <w:shd w:val="clear" w:color="auto" w:fill="FFF2CC" w:themeFill="accent4" w:themeFillTint="33"/>
            <w:vAlign w:val="center"/>
          </w:tcPr>
          <w:p w14:paraId="4D906603" w14:textId="3787C66E" w:rsidR="00427F18" w:rsidRPr="00483DC7" w:rsidRDefault="005214A5"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635,41</w:t>
            </w:r>
          </w:p>
        </w:tc>
        <w:tc>
          <w:tcPr>
            <w:tcW w:w="993" w:type="dxa"/>
            <w:shd w:val="clear" w:color="auto" w:fill="FFF2CC" w:themeFill="accent4" w:themeFillTint="33"/>
            <w:vAlign w:val="center"/>
          </w:tcPr>
          <w:p w14:paraId="37A66A07" w14:textId="70414ED0" w:rsidR="00427F18"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6.981,65</w:t>
            </w:r>
          </w:p>
        </w:tc>
        <w:tc>
          <w:tcPr>
            <w:tcW w:w="850" w:type="dxa"/>
            <w:shd w:val="clear" w:color="auto" w:fill="FFF2CC" w:themeFill="accent4" w:themeFillTint="33"/>
            <w:vAlign w:val="center"/>
          </w:tcPr>
          <w:p w14:paraId="063E641D" w14:textId="73F83BA7" w:rsidR="00427F18" w:rsidRPr="00483DC7" w:rsidRDefault="001465E4"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6</w:t>
            </w:r>
            <w:r w:rsidR="00FD62A1" w:rsidRPr="00483DC7">
              <w:rPr>
                <w:rFonts w:ascii="Times New Roman" w:hAnsi="Times New Roman" w:cs="Times New Roman"/>
                <w:b/>
                <w:sz w:val="18"/>
                <w:szCs w:val="18"/>
                <w:lang w:val="ro-MD"/>
              </w:rPr>
              <w:t>.</w:t>
            </w:r>
            <w:r w:rsidRPr="00483DC7">
              <w:rPr>
                <w:rFonts w:ascii="Times New Roman" w:hAnsi="Times New Roman" w:cs="Times New Roman"/>
                <w:b/>
                <w:sz w:val="18"/>
                <w:szCs w:val="18"/>
                <w:lang w:val="ro-MD"/>
              </w:rPr>
              <w:t>106,08</w:t>
            </w:r>
          </w:p>
        </w:tc>
        <w:tc>
          <w:tcPr>
            <w:tcW w:w="992" w:type="dxa"/>
            <w:shd w:val="clear" w:color="auto" w:fill="FFF2CC" w:themeFill="accent4" w:themeFillTint="33"/>
            <w:vAlign w:val="center"/>
          </w:tcPr>
          <w:p w14:paraId="229370A6" w14:textId="31735696" w:rsidR="00427F18" w:rsidRPr="00483DC7" w:rsidRDefault="0026094A" w:rsidP="001465E4">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87,</w:t>
            </w:r>
            <w:r w:rsidR="001465E4" w:rsidRPr="00483DC7">
              <w:rPr>
                <w:rFonts w:ascii="Times New Roman" w:hAnsi="Times New Roman" w:cs="Times New Roman"/>
                <w:b/>
                <w:sz w:val="18"/>
                <w:szCs w:val="18"/>
                <w:lang w:val="ro-MD"/>
              </w:rPr>
              <w:t>46</w:t>
            </w:r>
          </w:p>
        </w:tc>
        <w:tc>
          <w:tcPr>
            <w:tcW w:w="1134" w:type="dxa"/>
            <w:shd w:val="clear" w:color="auto" w:fill="FFF2CC" w:themeFill="accent4" w:themeFillTint="33"/>
            <w:vAlign w:val="center"/>
          </w:tcPr>
          <w:p w14:paraId="0D55480E" w14:textId="752D556F" w:rsidR="00427F18" w:rsidRPr="00483DC7" w:rsidRDefault="0026094A" w:rsidP="00427F18">
            <w:pPr>
              <w:spacing w:line="276" w:lineRule="auto"/>
              <w:jc w:val="right"/>
              <w:rPr>
                <w:rFonts w:ascii="Times New Roman" w:hAnsi="Times New Roman" w:cs="Times New Roman"/>
                <w:b/>
                <w:sz w:val="18"/>
                <w:szCs w:val="18"/>
                <w:lang w:val="ro-MD"/>
              </w:rPr>
            </w:pPr>
            <w:r w:rsidRPr="00483DC7">
              <w:rPr>
                <w:rFonts w:ascii="Times New Roman" w:hAnsi="Times New Roman" w:cs="Times New Roman"/>
                <w:b/>
                <w:sz w:val="18"/>
                <w:szCs w:val="18"/>
                <w:lang w:val="ro-MD"/>
              </w:rPr>
              <w:t>875,57</w:t>
            </w:r>
          </w:p>
        </w:tc>
      </w:tr>
      <w:tr w:rsidR="00427F18" w:rsidRPr="00483DC7" w14:paraId="2FA1AA11" w14:textId="77777777" w:rsidTr="00D97BD0">
        <w:trPr>
          <w:trHeight w:val="365"/>
        </w:trPr>
        <w:tc>
          <w:tcPr>
            <w:tcW w:w="9356" w:type="dxa"/>
            <w:gridSpan w:val="9"/>
            <w:tcBorders>
              <w:left w:val="single" w:sz="4" w:space="0" w:color="FFFFFF" w:themeColor="background1"/>
              <w:bottom w:val="single" w:sz="4" w:space="0" w:color="FFFFFF" w:themeColor="background1"/>
              <w:right w:val="single" w:sz="4" w:space="0" w:color="FFFFFF" w:themeColor="background1"/>
            </w:tcBorders>
            <w:vAlign w:val="center"/>
          </w:tcPr>
          <w:p w14:paraId="48B700AC" w14:textId="77777777" w:rsidR="00427F18" w:rsidRPr="00483DC7" w:rsidRDefault="00427F18" w:rsidP="00427F18">
            <w:pPr>
              <w:spacing w:line="276" w:lineRule="auto"/>
              <w:jc w:val="center"/>
              <w:rPr>
                <w:rFonts w:ascii="Times New Roman" w:hAnsi="Times New Roman" w:cs="Times New Roman"/>
                <w:i/>
                <w:sz w:val="18"/>
                <w:szCs w:val="18"/>
                <w:lang w:val="ro-MD"/>
              </w:rPr>
            </w:pPr>
            <w:r w:rsidRPr="00483DC7">
              <w:rPr>
                <w:rFonts w:ascii="Times New Roman" w:hAnsi="Times New Roman" w:cs="Times New Roman"/>
                <w:b/>
                <w:i/>
                <w:sz w:val="18"/>
                <w:szCs w:val="18"/>
                <w:lang w:val="ro-MD"/>
              </w:rPr>
              <w:t>Sursa:</w:t>
            </w:r>
            <w:r w:rsidRPr="00483DC7">
              <w:rPr>
                <w:rFonts w:ascii="Times New Roman" w:hAnsi="Times New Roman" w:cs="Times New Roman"/>
                <w:i/>
                <w:sz w:val="18"/>
                <w:szCs w:val="18"/>
                <w:lang w:val="ro-MD"/>
              </w:rPr>
              <w:t xml:space="preserve"> Formularele nr.22 și nr.23 anexate la Nota de contabilitate nr. NC-5 pentru anii 2022-2023</w:t>
            </w:r>
          </w:p>
        </w:tc>
      </w:tr>
    </w:tbl>
    <w:p w14:paraId="68061102" w14:textId="2C4AAA7F" w:rsidR="00427F18" w:rsidRPr="00483DC7" w:rsidRDefault="00427F18" w:rsidP="00427F18">
      <w:pPr>
        <w:shd w:val="clear" w:color="auto" w:fill="FFFFFF" w:themeFill="background1"/>
        <w:spacing w:before="240"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lastRenderedPageBreak/>
        <w:t>Este de remarcat faptul că, spre deosebire de celelalte 3 cazuri, valoarea totală a suplimentelor acordate Directorului OGPAE a depășit valoarea totală a salariului de funcție, calculat atât pentru anul 2022</w:t>
      </w:r>
      <w:r w:rsidR="00FE09F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cât și pentru anul 2023. </w:t>
      </w:r>
    </w:p>
    <w:p w14:paraId="4BC77AD4" w14:textId="3D61F40F" w:rsidR="0017283E" w:rsidRPr="00483DC7" w:rsidRDefault="00427F18" w:rsidP="00427F18">
      <w:pPr>
        <w:shd w:val="clear" w:color="auto" w:fill="FFFFFF" w:themeFill="background1"/>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Astfel, salariul de funcție al Directorului OGPAE, calculat conform HG nr.743/2002</w:t>
      </w:r>
      <w:r w:rsidRPr="00483DC7">
        <w:rPr>
          <w:rStyle w:val="FootnoteReference"/>
          <w:rFonts w:ascii="Times New Roman" w:hAnsi="Times New Roman" w:cs="Times New Roman"/>
          <w:sz w:val="24"/>
          <w:szCs w:val="24"/>
          <w:lang w:val="ro-MD"/>
        </w:rPr>
        <w:footnoteReference w:id="65"/>
      </w:r>
      <w:r w:rsidRPr="00483DC7">
        <w:rPr>
          <w:rFonts w:ascii="Times New Roman" w:hAnsi="Times New Roman" w:cs="Times New Roman"/>
          <w:sz w:val="24"/>
          <w:szCs w:val="24"/>
          <w:lang w:val="ro-MD"/>
        </w:rPr>
        <w:t>, a constituit: în anul 2022 – 361,62 mii lei, iar în anul 2023 – 396,77 mii lei. Suplimentar salariului de funcție, în temeiul Regulamentului cu privire la condițiile de salarizare a angajaților OGPAE</w:t>
      </w:r>
      <w:r w:rsidRPr="00483DC7">
        <w:rPr>
          <w:rStyle w:val="FootnoteReference"/>
          <w:rFonts w:ascii="Times New Roman" w:hAnsi="Times New Roman" w:cs="Times New Roman"/>
          <w:sz w:val="24"/>
          <w:szCs w:val="24"/>
          <w:lang w:val="ro-MD"/>
        </w:rPr>
        <w:footnoteReference w:id="66"/>
      </w:r>
      <w:r w:rsidRPr="00483DC7">
        <w:rPr>
          <w:rFonts w:ascii="Times New Roman" w:hAnsi="Times New Roman" w:cs="Times New Roman"/>
          <w:sz w:val="24"/>
          <w:szCs w:val="24"/>
          <w:lang w:val="ro-MD"/>
        </w:rPr>
        <w:t xml:space="preserve"> și a Regulamentului cu privire la premierea angajaților OGPAE</w:t>
      </w:r>
      <w:r w:rsidRPr="00483DC7">
        <w:rPr>
          <w:rStyle w:val="FootnoteReference"/>
          <w:rFonts w:ascii="Times New Roman" w:hAnsi="Times New Roman" w:cs="Times New Roman"/>
          <w:sz w:val="24"/>
          <w:szCs w:val="24"/>
          <w:lang w:val="ro-MD"/>
        </w:rPr>
        <w:footnoteReference w:id="67"/>
      </w:r>
      <w:r w:rsidRPr="00483DC7">
        <w:rPr>
          <w:rFonts w:ascii="Times New Roman" w:hAnsi="Times New Roman" w:cs="Times New Roman"/>
          <w:sz w:val="24"/>
          <w:szCs w:val="24"/>
          <w:lang w:val="ro-MD"/>
        </w:rPr>
        <w:t>, Directorul OGPAE a beneficiat: în anul 2022 de 5 tipuri de suplimente la salariu</w:t>
      </w:r>
      <w:r w:rsidR="00FE09FC">
        <w:rPr>
          <w:rFonts w:ascii="Times New Roman" w:hAnsi="Times New Roman" w:cs="Times New Roman"/>
          <w:sz w:val="24"/>
          <w:szCs w:val="24"/>
          <w:lang w:val="ro-MD"/>
        </w:rPr>
        <w:t>l</w:t>
      </w:r>
      <w:r w:rsidRPr="00483DC7">
        <w:rPr>
          <w:rFonts w:ascii="Times New Roman" w:hAnsi="Times New Roman" w:cs="Times New Roman"/>
          <w:sz w:val="24"/>
          <w:szCs w:val="24"/>
          <w:lang w:val="ro-MD"/>
        </w:rPr>
        <w:t xml:space="preserve"> de funcție în sumă totală de 534,89 mii lei</w:t>
      </w:r>
      <w:r w:rsidRPr="00483DC7">
        <w:rPr>
          <w:rStyle w:val="FootnoteReference"/>
          <w:rFonts w:ascii="Times New Roman" w:hAnsi="Times New Roman" w:cs="Times New Roman"/>
          <w:sz w:val="24"/>
          <w:szCs w:val="24"/>
          <w:lang w:val="ro-MD"/>
        </w:rPr>
        <w:footnoteReference w:id="68"/>
      </w:r>
      <w:r w:rsidRPr="00483DC7">
        <w:rPr>
          <w:rFonts w:ascii="Times New Roman" w:hAnsi="Times New Roman" w:cs="Times New Roman"/>
          <w:sz w:val="24"/>
          <w:szCs w:val="24"/>
          <w:lang w:val="ro-MD"/>
        </w:rPr>
        <w:t>, iar în anul 2023 – de 7 tipuri de suplimente la salariu</w:t>
      </w:r>
      <w:r w:rsidR="00FE09FC">
        <w:rPr>
          <w:rFonts w:ascii="Times New Roman" w:hAnsi="Times New Roman" w:cs="Times New Roman"/>
          <w:sz w:val="24"/>
          <w:szCs w:val="24"/>
          <w:lang w:val="ro-MD"/>
        </w:rPr>
        <w:t>l</w:t>
      </w:r>
      <w:r w:rsidRPr="00483DC7">
        <w:rPr>
          <w:rFonts w:ascii="Times New Roman" w:hAnsi="Times New Roman" w:cs="Times New Roman"/>
          <w:sz w:val="24"/>
          <w:szCs w:val="24"/>
          <w:lang w:val="ro-MD"/>
        </w:rPr>
        <w:t xml:space="preserve"> de funcție în sumă de 441,30 mii lei</w:t>
      </w:r>
      <w:r w:rsidRPr="00483DC7">
        <w:rPr>
          <w:rStyle w:val="FootnoteReference"/>
          <w:rFonts w:ascii="Times New Roman" w:hAnsi="Times New Roman" w:cs="Times New Roman"/>
          <w:sz w:val="24"/>
          <w:szCs w:val="24"/>
          <w:lang w:val="ro-MD"/>
        </w:rPr>
        <w:footnoteReference w:id="69"/>
      </w:r>
      <w:r w:rsidRPr="00483DC7">
        <w:rPr>
          <w:rFonts w:ascii="Times New Roman" w:hAnsi="Times New Roman" w:cs="Times New Roman"/>
          <w:sz w:val="24"/>
          <w:szCs w:val="24"/>
          <w:lang w:val="ro-MD"/>
        </w:rPr>
        <w:t xml:space="preserve">. </w:t>
      </w:r>
    </w:p>
    <w:p w14:paraId="3EBFEF95" w14:textId="3EC1D8F7" w:rsidR="00427F18" w:rsidRPr="00483DC7" w:rsidRDefault="00427F18" w:rsidP="002A601F">
      <w:pPr>
        <w:shd w:val="clear" w:color="auto" w:fill="FFFFFF" w:themeFill="background1"/>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Este de remarcat faptul că, spre deosebire de celelalte UIPFAE care oferă stimulente angajaților din contul economiilor înregistrate în executarea fondului anual de salarizare, OGPAE acordă stimulente angajaților săi, finanțate preponderent din</w:t>
      </w:r>
      <w:r w:rsidR="00D411FA" w:rsidRPr="00483DC7">
        <w:rPr>
          <w:rFonts w:ascii="Times New Roman" w:hAnsi="Times New Roman" w:cs="Times New Roman"/>
          <w:sz w:val="24"/>
          <w:szCs w:val="24"/>
          <w:lang w:val="ro-MD"/>
        </w:rPr>
        <w:t xml:space="preserve"> venituri</w:t>
      </w:r>
      <w:r w:rsidR="00FD62A1" w:rsidRPr="00483DC7">
        <w:rPr>
          <w:rFonts w:ascii="Times New Roman" w:hAnsi="Times New Roman" w:cs="Times New Roman"/>
          <w:sz w:val="24"/>
          <w:szCs w:val="24"/>
          <w:lang w:val="ro-MD"/>
        </w:rPr>
        <w:t>le</w:t>
      </w:r>
      <w:r w:rsidR="00D411FA" w:rsidRPr="00483DC7">
        <w:rPr>
          <w:rFonts w:ascii="Times New Roman" w:hAnsi="Times New Roman" w:cs="Times New Roman"/>
          <w:sz w:val="24"/>
          <w:szCs w:val="24"/>
          <w:lang w:val="ro-MD"/>
        </w:rPr>
        <w:t xml:space="preserve"> proprii generate, acumulate</w:t>
      </w:r>
      <w:r w:rsidR="002A601F" w:rsidRPr="00483DC7">
        <w:rPr>
          <w:rFonts w:ascii="Times New Roman" w:hAnsi="Times New Roman" w:cs="Times New Roman"/>
          <w:sz w:val="24"/>
          <w:szCs w:val="24"/>
          <w:lang w:val="ro-MD"/>
        </w:rPr>
        <w:t xml:space="preserve"> din</w:t>
      </w:r>
      <w:r w:rsidRPr="00483DC7">
        <w:rPr>
          <w:rFonts w:ascii="Times New Roman" w:hAnsi="Times New Roman" w:cs="Times New Roman"/>
          <w:sz w:val="24"/>
          <w:szCs w:val="24"/>
          <w:lang w:val="ro-MD"/>
        </w:rPr>
        <w:t xml:space="preserve"> </w:t>
      </w:r>
      <w:r w:rsidR="0017283E" w:rsidRPr="00483DC7">
        <w:rPr>
          <w:rFonts w:ascii="Times New Roman" w:hAnsi="Times New Roman" w:cs="Times New Roman"/>
          <w:sz w:val="24"/>
          <w:szCs w:val="24"/>
          <w:lang w:val="ro-MD"/>
        </w:rPr>
        <w:t xml:space="preserve">comisioanele percepute de la băncile comerciale intermediare în operațiunile de recreditare a sectorului privat din </w:t>
      </w:r>
      <w:r w:rsidR="00FD62A1" w:rsidRPr="00483DC7">
        <w:rPr>
          <w:rFonts w:ascii="Times New Roman" w:hAnsi="Times New Roman" w:cs="Times New Roman"/>
          <w:sz w:val="24"/>
          <w:szCs w:val="24"/>
          <w:lang w:val="ro-MD"/>
        </w:rPr>
        <w:t xml:space="preserve">liniile </w:t>
      </w:r>
      <w:r w:rsidR="0017283E" w:rsidRPr="00483DC7">
        <w:rPr>
          <w:rFonts w:ascii="Times New Roman" w:hAnsi="Times New Roman" w:cs="Times New Roman"/>
          <w:sz w:val="24"/>
          <w:szCs w:val="24"/>
          <w:lang w:val="ro-MD"/>
        </w:rPr>
        <w:t xml:space="preserve">de </w:t>
      </w:r>
      <w:r w:rsidR="00FD62A1" w:rsidRPr="00483DC7">
        <w:rPr>
          <w:rFonts w:ascii="Times New Roman" w:hAnsi="Times New Roman" w:cs="Times New Roman"/>
          <w:sz w:val="24"/>
          <w:szCs w:val="24"/>
          <w:lang w:val="ro-MD"/>
        </w:rPr>
        <w:t xml:space="preserve">credit </w:t>
      </w:r>
      <w:r w:rsidR="0017283E" w:rsidRPr="00483DC7">
        <w:rPr>
          <w:rFonts w:ascii="Times New Roman" w:hAnsi="Times New Roman" w:cs="Times New Roman"/>
          <w:sz w:val="24"/>
          <w:szCs w:val="24"/>
          <w:lang w:val="ro-MD"/>
        </w:rPr>
        <w:t>administrate</w:t>
      </w:r>
      <w:r w:rsidR="002A601F" w:rsidRPr="00483DC7">
        <w:rPr>
          <w:rFonts w:ascii="Times New Roman" w:hAnsi="Times New Roman" w:cs="Times New Roman"/>
          <w:sz w:val="24"/>
          <w:szCs w:val="24"/>
          <w:lang w:val="ro-MD"/>
        </w:rPr>
        <w:t>.</w:t>
      </w:r>
    </w:p>
    <w:p w14:paraId="510AF97D" w14:textId="1D91F749" w:rsidR="006C4376" w:rsidRPr="00483DC7" w:rsidRDefault="00427F18" w:rsidP="0017283E">
      <w:pPr>
        <w:shd w:val="clear" w:color="auto" w:fill="FFFFFF" w:themeFill="background1"/>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auditul a constatat că</w:t>
      </w:r>
      <w:r w:rsidR="00902E3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 perioada ianuarie 2022 – ianuarie 2023, directorul UCIPE a fost remunerat în baza a două contracte, cumulând sarcinile și atribuțiile a 2 funcții din cadrul UCIPE: i) manager de proiect/director al Proiectului de Dezvoltare a Sistemului Electroenergetic (PDSE) și</w:t>
      </w:r>
      <w:r w:rsidR="00902E3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respectiv</w:t>
      </w:r>
      <w:r w:rsidR="00902E3C">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ii) manager </w:t>
      </w:r>
      <w:r w:rsidR="00902E3C">
        <w:rPr>
          <w:rFonts w:ascii="Times New Roman" w:hAnsi="Times New Roman" w:cs="Times New Roman"/>
          <w:sz w:val="24"/>
          <w:szCs w:val="24"/>
          <w:lang w:val="ro-MD"/>
        </w:rPr>
        <w:t>de proiect/director al celui de-</w:t>
      </w:r>
      <w:r w:rsidRPr="00483DC7">
        <w:rPr>
          <w:rFonts w:ascii="Times New Roman" w:hAnsi="Times New Roman" w:cs="Times New Roman"/>
          <w:sz w:val="24"/>
          <w:szCs w:val="24"/>
          <w:lang w:val="ro-MD"/>
        </w:rPr>
        <w:t>al doilea Proiect de îmbunătățire a eficienței sistemului de alimentare centralizată cu energie termică (PIASACET-2).</w:t>
      </w:r>
      <w:r w:rsidR="0017283E" w:rsidRPr="00483DC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Situații de cumulare a sarcinilor și atribuțiilor funcțiilor vacante au fost constatate și în cazul personalului de execuție.</w:t>
      </w:r>
    </w:p>
    <w:p w14:paraId="6456F56D" w14:textId="41EFEDC9" w:rsidR="00427F18" w:rsidRPr="00483DC7" w:rsidRDefault="006C4376" w:rsidP="006C4376">
      <w:pPr>
        <w:shd w:val="clear" w:color="auto" w:fill="FFFFFF" w:themeFill="background1"/>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Potrivit explicațiilor Ministerului Energiei, cumularea sarcinilor și atribuțiilor funcțiilor vacante nu este interzisă de prevederile legale și a fost aplicată ca măsură temporară pentru a asigura continuitatea activităților critice în contextul unui deficit de personal și al unor funcții care necesită competențe specifice. </w:t>
      </w:r>
      <w:r w:rsidR="007F1CB3" w:rsidRPr="00483DC7">
        <w:rPr>
          <w:rFonts w:ascii="Times New Roman" w:hAnsi="Times New Roman" w:cs="Times New Roman"/>
          <w:sz w:val="24"/>
          <w:szCs w:val="24"/>
          <w:lang w:val="ro-MD"/>
        </w:rPr>
        <w:t xml:space="preserve">În situațiile </w:t>
      </w:r>
      <w:r w:rsidR="00902E3C">
        <w:rPr>
          <w:rFonts w:ascii="Times New Roman" w:hAnsi="Times New Roman" w:cs="Times New Roman"/>
          <w:sz w:val="24"/>
          <w:szCs w:val="24"/>
          <w:lang w:val="ro-MD"/>
        </w:rPr>
        <w:t>în care</w:t>
      </w:r>
      <w:r w:rsidRPr="00483DC7">
        <w:rPr>
          <w:rFonts w:ascii="Times New Roman" w:hAnsi="Times New Roman" w:cs="Times New Roman"/>
          <w:sz w:val="24"/>
          <w:szCs w:val="24"/>
          <w:lang w:val="ro-MD"/>
        </w:rPr>
        <w:t xml:space="preserve"> această măsură </w:t>
      </w:r>
      <w:r w:rsidR="007F1CB3" w:rsidRPr="00483DC7">
        <w:rPr>
          <w:rFonts w:ascii="Times New Roman" w:hAnsi="Times New Roman" w:cs="Times New Roman"/>
          <w:sz w:val="24"/>
          <w:szCs w:val="24"/>
          <w:lang w:val="ro-MD"/>
        </w:rPr>
        <w:t xml:space="preserve">a fost aplicată, s-a indicat </w:t>
      </w:r>
      <w:r w:rsidRPr="00483DC7">
        <w:rPr>
          <w:rFonts w:ascii="Times New Roman" w:hAnsi="Times New Roman" w:cs="Times New Roman"/>
          <w:sz w:val="24"/>
          <w:szCs w:val="24"/>
          <w:lang w:val="ro-MD"/>
        </w:rPr>
        <w:t xml:space="preserve">respectarea principiilor egalității și nediscriminării, remunerațiile </w:t>
      </w:r>
      <w:r w:rsidR="007F1CB3" w:rsidRPr="00483DC7">
        <w:rPr>
          <w:rFonts w:ascii="Times New Roman" w:hAnsi="Times New Roman" w:cs="Times New Roman"/>
          <w:sz w:val="24"/>
          <w:szCs w:val="24"/>
          <w:lang w:val="ro-MD"/>
        </w:rPr>
        <w:t>fiind</w:t>
      </w:r>
      <w:r w:rsidRPr="00483DC7">
        <w:rPr>
          <w:rFonts w:ascii="Times New Roman" w:hAnsi="Times New Roman" w:cs="Times New Roman"/>
          <w:sz w:val="24"/>
          <w:szCs w:val="24"/>
          <w:lang w:val="ro-MD"/>
        </w:rPr>
        <w:t xml:space="preserve"> stabilite în conformitate cu responsabilitățile, efortul suplimentar alocat de salariați și specificul proiectelor implementate.</w:t>
      </w:r>
      <w:r w:rsidR="00427F18" w:rsidRPr="00483DC7">
        <w:rPr>
          <w:rFonts w:ascii="Times New Roman" w:hAnsi="Times New Roman" w:cs="Times New Roman"/>
          <w:sz w:val="24"/>
          <w:szCs w:val="24"/>
          <w:lang w:val="ro-MD"/>
        </w:rPr>
        <w:t xml:space="preserve">  </w:t>
      </w:r>
    </w:p>
    <w:p w14:paraId="77124FAE" w14:textId="10F41635" w:rsidR="00427F18" w:rsidRPr="00483DC7" w:rsidRDefault="00427F18" w:rsidP="00427F18">
      <w:pPr>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opinia echipei de audit, aplicarea unor principii neuniforme pentru remunerarea angajaților cu sarcini și responsabilități similare generează percepții de inechitate în rândul angajaților și a potențialilor candidați la ocuparea funcțiilor respective, afectând moralul și productivitatea echipelor UIPFAE. Totodată, un sistem de remunerare inechitabil poate genera dificultăți în evaluarea obiectivă a performanței și a rezultatelor dintre diferite instituții publice.</w:t>
      </w:r>
    </w:p>
    <w:p w14:paraId="1487B46F" w14:textId="34B70216" w:rsidR="00427F18" w:rsidRPr="00483DC7" w:rsidRDefault="00427F18" w:rsidP="00427F18">
      <w:pPr>
        <w:spacing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 xml:space="preserve">4.2.2. Rezultatele obținute de către UIPFAE produc un impact pozitiv asupra domeniilor </w:t>
      </w:r>
      <w:r w:rsidR="00902E3C">
        <w:rPr>
          <w:rFonts w:ascii="Times New Roman" w:hAnsi="Times New Roman" w:cs="Times New Roman"/>
          <w:b/>
          <w:sz w:val="24"/>
          <w:szCs w:val="24"/>
          <w:lang w:val="ro-MD"/>
        </w:rPr>
        <w:t>lor</w:t>
      </w:r>
      <w:r w:rsidRPr="00483DC7">
        <w:rPr>
          <w:rFonts w:ascii="Times New Roman" w:hAnsi="Times New Roman" w:cs="Times New Roman"/>
          <w:b/>
          <w:sz w:val="24"/>
          <w:szCs w:val="24"/>
          <w:lang w:val="ro-MD"/>
        </w:rPr>
        <w:t xml:space="preserve"> de competență ?</w:t>
      </w:r>
    </w:p>
    <w:p w14:paraId="3521C14B" w14:textId="77777777" w:rsidR="00427F18" w:rsidRPr="00483DC7" w:rsidRDefault="00427F18" w:rsidP="00427F18">
      <w:pPr>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Indiferent de modul cum a fost gestionată, activitatea UIPFAE produce rezultate, deoarece implică o serie de acțiuni care declanșează consecințe, influențând în mod direct sau indirect evenimentele viitoare aferente domeniilor sale de competență. </w:t>
      </w:r>
    </w:p>
    <w:p w14:paraId="27F024E6" w14:textId="48A61AA5" w:rsidR="00427F18" w:rsidRDefault="00427F18" w:rsidP="00683D84">
      <w:pPr>
        <w:spacing w:after="0"/>
        <w:ind w:firstLine="709"/>
        <w:jc w:val="both"/>
        <w:rPr>
          <w:rFonts w:ascii="Times New Roman" w:hAnsi="Times New Roman" w:cs="Times New Roman"/>
          <w:sz w:val="24"/>
          <w:szCs w:val="24"/>
          <w:lang w:val="ro-MD"/>
        </w:rPr>
      </w:pPr>
      <w:r w:rsidRPr="00483DC7">
        <w:rPr>
          <w:rFonts w:ascii="Times New Roman" w:hAnsi="Times New Roman" w:cs="Times New Roman"/>
          <w:i/>
          <w:sz w:val="24"/>
          <w:szCs w:val="24"/>
          <w:lang w:val="ro-MD"/>
        </w:rPr>
        <w:t xml:space="preserve">Activitățile de audit desfășurate denotă că activitatea UIPFAE, reieșind din specificul său, joacă un rol crucial în dezvoltarea sustenabilă și multidimensională a Republicii Moldova, contribuind semnificativ la atragerea și gestionarea fondurilor de investiții în domeniile de importanță strategică națională, asigurând transferul de cunoștințe și expertiză de la partenerii de dezvoltare către instituțiile guvernamentale. </w:t>
      </w:r>
      <w:r w:rsidRPr="00483DC7">
        <w:rPr>
          <w:rFonts w:ascii="Times New Roman" w:hAnsi="Times New Roman" w:cs="Times New Roman"/>
          <w:i/>
          <w:sz w:val="24"/>
          <w:szCs w:val="24"/>
          <w:shd w:val="clear" w:color="auto" w:fill="FFFFFF" w:themeFill="background1"/>
          <w:lang w:val="ro-MD"/>
        </w:rPr>
        <w:t xml:space="preserve">Totuși, fără un context adecvat, o intenție clară și </w:t>
      </w:r>
      <w:r w:rsidRPr="00483DC7">
        <w:rPr>
          <w:rFonts w:ascii="Times New Roman" w:hAnsi="Times New Roman" w:cs="Times New Roman"/>
          <w:i/>
          <w:sz w:val="24"/>
          <w:szCs w:val="24"/>
          <w:shd w:val="clear" w:color="auto" w:fill="FFFFFF" w:themeFill="background1"/>
          <w:lang w:val="ro-MD"/>
        </w:rPr>
        <w:lastRenderedPageBreak/>
        <w:t>o execuție bine organizată a activității, rezultatele UIPFAE au fost pe alocuri inconsistente sau nesatisfăcătoare.</w:t>
      </w:r>
      <w:r w:rsidRPr="00483DC7">
        <w:rPr>
          <w:rFonts w:ascii="Times New Roman" w:hAnsi="Times New Roman" w:cs="Times New Roman"/>
          <w:i/>
          <w:sz w:val="24"/>
          <w:szCs w:val="24"/>
          <w:lang w:val="ro-MD"/>
        </w:rPr>
        <w:t xml:space="preserve"> </w:t>
      </w:r>
      <w:r w:rsidR="00317732" w:rsidRPr="00317732">
        <w:rPr>
          <w:rFonts w:ascii="Times New Roman" w:hAnsi="Times New Roman" w:cs="Times New Roman"/>
          <w:sz w:val="24"/>
          <w:szCs w:val="24"/>
          <w:lang w:val="ro-MD"/>
        </w:rPr>
        <w:t xml:space="preserve">În acest sens auditul </w:t>
      </w:r>
      <w:r w:rsidR="00902E3C">
        <w:rPr>
          <w:rFonts w:ascii="Times New Roman" w:hAnsi="Times New Roman" w:cs="Times New Roman"/>
          <w:sz w:val="24"/>
          <w:szCs w:val="24"/>
          <w:lang w:val="ro-MD"/>
        </w:rPr>
        <w:t>relevă următoarele aspecte.</w:t>
      </w:r>
    </w:p>
    <w:p w14:paraId="7C95E887" w14:textId="77777777" w:rsidR="00683D84" w:rsidRPr="00483DC7" w:rsidRDefault="00683D84" w:rsidP="00683D84">
      <w:pPr>
        <w:spacing w:after="0"/>
        <w:ind w:firstLine="709"/>
        <w:jc w:val="both"/>
        <w:rPr>
          <w:rFonts w:ascii="Times New Roman" w:hAnsi="Times New Roman" w:cs="Times New Roman"/>
          <w:b/>
          <w:sz w:val="24"/>
          <w:szCs w:val="24"/>
          <w:lang w:val="ro-MD"/>
        </w:rPr>
      </w:pPr>
    </w:p>
    <w:p w14:paraId="42C458F5" w14:textId="5BB765D6" w:rsidR="00427F18" w:rsidRPr="00483DC7" w:rsidRDefault="00427F18" w:rsidP="00427F18">
      <w:pPr>
        <w:spacing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 xml:space="preserve">4.2.2.1. În perioada 2022-2023 entitățile auditate au asigurat debursarea asistenței externe de circa </w:t>
      </w:r>
      <w:r w:rsidR="0044115A" w:rsidRPr="00483DC7">
        <w:rPr>
          <w:rFonts w:ascii="Times New Roman" w:hAnsi="Times New Roman" w:cs="Times New Roman"/>
          <w:b/>
          <w:sz w:val="24"/>
          <w:szCs w:val="24"/>
          <w:lang w:val="ro-MD"/>
        </w:rPr>
        <w:t>4</w:t>
      </w:r>
      <w:r w:rsidR="00137388">
        <w:rPr>
          <w:rFonts w:ascii="Times New Roman" w:hAnsi="Times New Roman" w:cs="Times New Roman"/>
          <w:b/>
          <w:sz w:val="24"/>
          <w:szCs w:val="24"/>
          <w:lang w:val="ro-MD"/>
        </w:rPr>
        <w:t>.</w:t>
      </w:r>
      <w:r w:rsidR="0044115A" w:rsidRPr="00483DC7">
        <w:rPr>
          <w:rFonts w:ascii="Times New Roman" w:hAnsi="Times New Roman" w:cs="Times New Roman"/>
          <w:b/>
          <w:sz w:val="24"/>
          <w:szCs w:val="24"/>
          <w:lang w:val="ro-MD"/>
        </w:rPr>
        <w:t>125,65</w:t>
      </w:r>
      <w:r w:rsidRPr="00483DC7">
        <w:rPr>
          <w:rFonts w:ascii="Times New Roman" w:hAnsi="Times New Roman" w:cs="Times New Roman"/>
          <w:b/>
          <w:sz w:val="24"/>
          <w:szCs w:val="24"/>
          <w:lang w:val="ro-MD"/>
        </w:rPr>
        <w:t xml:space="preserve"> mil.</w:t>
      </w:r>
      <w:r w:rsidR="0044115A" w:rsidRPr="00483DC7">
        <w:rPr>
          <w:rFonts w:ascii="Times New Roman" w:hAnsi="Times New Roman" w:cs="Times New Roman"/>
          <w:b/>
          <w:sz w:val="24"/>
          <w:szCs w:val="24"/>
          <w:lang w:val="ro-MD"/>
        </w:rPr>
        <w:t xml:space="preserve"> lei pentru implementarea a 36</w:t>
      </w:r>
      <w:r w:rsidR="00902E3C">
        <w:rPr>
          <w:rFonts w:ascii="Times New Roman" w:hAnsi="Times New Roman" w:cs="Times New Roman"/>
          <w:b/>
          <w:sz w:val="24"/>
          <w:szCs w:val="24"/>
          <w:lang w:val="ro-MD"/>
        </w:rPr>
        <w:t xml:space="preserve"> de</w:t>
      </w:r>
      <w:r w:rsidRPr="00483DC7">
        <w:rPr>
          <w:rFonts w:ascii="Times New Roman" w:hAnsi="Times New Roman" w:cs="Times New Roman"/>
          <w:b/>
          <w:sz w:val="24"/>
          <w:szCs w:val="24"/>
          <w:lang w:val="ro-MD"/>
        </w:rPr>
        <w:t xml:space="preserve"> proiecte investiționale în </w:t>
      </w:r>
      <w:r w:rsidR="0044115A" w:rsidRPr="00483DC7">
        <w:rPr>
          <w:rFonts w:ascii="Times New Roman" w:hAnsi="Times New Roman" w:cs="Times New Roman"/>
          <w:b/>
          <w:sz w:val="24"/>
          <w:szCs w:val="24"/>
          <w:lang w:val="ro-MD"/>
        </w:rPr>
        <w:t>7</w:t>
      </w:r>
      <w:r w:rsidRPr="00483DC7">
        <w:rPr>
          <w:rFonts w:ascii="Times New Roman" w:hAnsi="Times New Roman" w:cs="Times New Roman"/>
          <w:b/>
          <w:sz w:val="24"/>
          <w:szCs w:val="24"/>
          <w:lang w:val="ro-MD"/>
        </w:rPr>
        <w:t xml:space="preserve"> domenii economice de dezvoltare, însă deficiențele în planificare, coordonare, monitorizare și gestiune financiară le-au redus eficiența, rezultând în întârzieri, depășiri de buget și realizări sub așteptări în anumite cazuri.</w:t>
      </w:r>
    </w:p>
    <w:p w14:paraId="01957AD6" w14:textId="7B655667" w:rsidR="00427F18" w:rsidRPr="00483DC7" w:rsidRDefault="00427F18" w:rsidP="00427F18">
      <w:pPr>
        <w:pStyle w:val="NormalWeb"/>
        <w:spacing w:before="0" w:beforeAutospacing="0" w:after="0" w:afterAutospacing="0" w:line="276" w:lineRule="auto"/>
        <w:ind w:firstLine="709"/>
        <w:jc w:val="both"/>
        <w:rPr>
          <w:lang w:val="ro-MD"/>
        </w:rPr>
      </w:pPr>
      <w:r w:rsidRPr="00483DC7">
        <w:rPr>
          <w:lang w:val="ro-MD"/>
        </w:rPr>
        <w:t>UIPFAE joacă un rol esențial în realizarea cu succes a proiectelor finanțate prin acorduri între autoritățile naționale și finanțatori, contribuind la dezvoltarea economică, socială și infrastructurală în diverse domenii. Aceste instituții sunt responsabile pentru gestionarea, coordonarea și monitorizarea activităților specifice fiecărui proiect, cu scopul de a obține rezultatele preconizate, astfel încât să se asigure utilizarea eficientă a resurselor și să se respecte termen</w:t>
      </w:r>
      <w:r w:rsidR="00902E3C">
        <w:rPr>
          <w:lang w:val="ro-MD"/>
        </w:rPr>
        <w:t>ele</w:t>
      </w:r>
      <w:r w:rsidRPr="00483DC7">
        <w:rPr>
          <w:lang w:val="ro-MD"/>
        </w:rPr>
        <w:t xml:space="preserve"> acordurilor de finanțare.</w:t>
      </w:r>
    </w:p>
    <w:p w14:paraId="33D848FF" w14:textId="470D99B4" w:rsidR="0096723A" w:rsidRPr="00483DC7" w:rsidRDefault="00427F18" w:rsidP="0096723A">
      <w:pPr>
        <w:pStyle w:val="NormalWeb"/>
        <w:spacing w:before="0" w:beforeAutospacing="0" w:after="0" w:afterAutospacing="0" w:line="276" w:lineRule="auto"/>
        <w:ind w:firstLine="709"/>
        <w:jc w:val="both"/>
        <w:rPr>
          <w:lang w:val="ro-MD"/>
        </w:rPr>
      </w:pPr>
      <w:r w:rsidRPr="00483DC7">
        <w:rPr>
          <w:lang w:val="ro-MD"/>
        </w:rPr>
        <w:t>În acest sens, cele 12 UIPFAE, în perioada 2022-2023, au desfășurat activități pentru implementarea a 3</w:t>
      </w:r>
      <w:r w:rsidR="0096723A" w:rsidRPr="00483DC7">
        <w:rPr>
          <w:lang w:val="ro-MD"/>
        </w:rPr>
        <w:t>6</w:t>
      </w:r>
      <w:r w:rsidRPr="00483DC7">
        <w:rPr>
          <w:lang w:val="ro-MD"/>
        </w:rPr>
        <w:t xml:space="preserve"> de proiecte, </w:t>
      </w:r>
      <w:r w:rsidR="0044115A" w:rsidRPr="00483DC7">
        <w:rPr>
          <w:lang w:val="ro-MD"/>
        </w:rPr>
        <w:t>utilizând</w:t>
      </w:r>
      <w:r w:rsidRPr="00483DC7">
        <w:rPr>
          <w:lang w:val="ro-MD"/>
        </w:rPr>
        <w:t xml:space="preserve"> resurse financiare în valoare totală de </w:t>
      </w:r>
      <w:r w:rsidR="00902E3C">
        <w:rPr>
          <w:lang w:val="ro-MD"/>
        </w:rPr>
        <w:t>4.</w:t>
      </w:r>
      <w:r w:rsidR="00CB1EF8">
        <w:rPr>
          <w:lang w:val="ro-MD"/>
        </w:rPr>
        <w:t>338,64</w:t>
      </w:r>
      <w:r w:rsidR="00902E3C">
        <w:rPr>
          <w:lang w:val="ro-MD"/>
        </w:rPr>
        <w:t xml:space="preserve"> milioane</w:t>
      </w:r>
      <w:r w:rsidRPr="00483DC7">
        <w:rPr>
          <w:lang w:val="ro-MD"/>
        </w:rPr>
        <w:t xml:space="preserve"> lei</w:t>
      </w:r>
      <w:r w:rsidRPr="00483DC7">
        <w:rPr>
          <w:rStyle w:val="FootnoteReference"/>
          <w:lang w:val="ro-MD"/>
        </w:rPr>
        <w:footnoteReference w:id="70"/>
      </w:r>
      <w:r w:rsidR="0096723A" w:rsidRPr="00483DC7">
        <w:rPr>
          <w:lang w:val="ro-MD"/>
        </w:rPr>
        <w:t xml:space="preserve">, ceea ce reprezintă 60% din valoarea </w:t>
      </w:r>
      <w:r w:rsidR="0044115A" w:rsidRPr="00483DC7">
        <w:rPr>
          <w:lang w:val="ro-MD"/>
        </w:rPr>
        <w:t>fondurilor</w:t>
      </w:r>
      <w:r w:rsidR="0096723A" w:rsidRPr="00483DC7">
        <w:rPr>
          <w:lang w:val="ro-MD"/>
        </w:rPr>
        <w:t xml:space="preserve"> debursate în perio</w:t>
      </w:r>
      <w:r w:rsidR="000C0BCA" w:rsidRPr="00483DC7">
        <w:rPr>
          <w:lang w:val="ro-MD"/>
        </w:rPr>
        <w:t>ada de la inițierea proiectelor și</w:t>
      </w:r>
      <w:r w:rsidR="0096723A" w:rsidRPr="00483DC7">
        <w:rPr>
          <w:lang w:val="ro-MD"/>
        </w:rPr>
        <w:t xml:space="preserve"> până la 31.12.2023</w:t>
      </w:r>
      <w:r w:rsidR="0096723A" w:rsidRPr="00483DC7">
        <w:rPr>
          <w:rStyle w:val="FootnoteReference"/>
          <w:lang w:val="ro-MD"/>
        </w:rPr>
        <w:footnoteReference w:id="71"/>
      </w:r>
      <w:r w:rsidR="0096723A" w:rsidRPr="00483DC7">
        <w:rPr>
          <w:lang w:val="ro-MD"/>
        </w:rPr>
        <w:t xml:space="preserve">. Detaliat valoarea resurselor debursate pentru implementarea proiectelor este prezentată în </w:t>
      </w:r>
      <w:r w:rsidR="0096723A" w:rsidRPr="00483DC7">
        <w:rPr>
          <w:b/>
          <w:lang w:val="ro-MD"/>
        </w:rPr>
        <w:t>Anexa nr.</w:t>
      </w:r>
      <w:r w:rsidR="00A94AD5" w:rsidRPr="00483DC7">
        <w:rPr>
          <w:b/>
          <w:lang w:val="ro-MD"/>
        </w:rPr>
        <w:t>7</w:t>
      </w:r>
      <w:r w:rsidR="0096723A" w:rsidRPr="00483DC7">
        <w:rPr>
          <w:b/>
          <w:lang w:val="ro-MD"/>
        </w:rPr>
        <w:t xml:space="preserve"> la Raportul de audit</w:t>
      </w:r>
      <w:r w:rsidR="0096723A" w:rsidRPr="00483DC7">
        <w:rPr>
          <w:lang w:val="ro-MD"/>
        </w:rPr>
        <w:t>.</w:t>
      </w:r>
    </w:p>
    <w:p w14:paraId="584AB9B4" w14:textId="44232694" w:rsidR="0096723A" w:rsidRPr="00483DC7" w:rsidRDefault="0096723A" w:rsidP="0096723A">
      <w:pPr>
        <w:pStyle w:val="NormalWeb"/>
        <w:spacing w:before="0" w:beforeAutospacing="0" w:after="0" w:afterAutospacing="0" w:line="276" w:lineRule="auto"/>
        <w:ind w:firstLine="709"/>
        <w:jc w:val="both"/>
        <w:rPr>
          <w:lang w:val="ro-MD"/>
        </w:rPr>
      </w:pPr>
      <w:r w:rsidRPr="00483DC7">
        <w:rPr>
          <w:lang w:val="ro-MD"/>
        </w:rPr>
        <w:t xml:space="preserve"> Proiectele implementate de UIPFAE au acționat în 7 domenii semnificative și au demonstrat rezultate variabile. Fiecare proiect a fost implementat prin metode specifice de coordonare și monitorizare, rezultatele având diferite niveluri</w:t>
      </w:r>
      <w:r w:rsidR="005A76C0">
        <w:rPr>
          <w:lang w:val="ro-MD"/>
        </w:rPr>
        <w:t xml:space="preserve"> de</w:t>
      </w:r>
      <w:r w:rsidRPr="00483DC7">
        <w:rPr>
          <w:lang w:val="ro-MD"/>
        </w:rPr>
        <w:t xml:space="preserve"> realiza</w:t>
      </w:r>
      <w:r w:rsidR="005A76C0">
        <w:rPr>
          <w:lang w:val="ro-MD"/>
        </w:rPr>
        <w:t>r</w:t>
      </w:r>
      <w:r w:rsidRPr="00483DC7">
        <w:rPr>
          <w:lang w:val="ro-MD"/>
        </w:rPr>
        <w:t>e sau chiar cu implementare „zero”, în pofida faptului că termenele de implementare in</w:t>
      </w:r>
      <w:r w:rsidR="00B35036" w:rsidRPr="00483DC7">
        <w:rPr>
          <w:lang w:val="ro-MD"/>
        </w:rPr>
        <w:t>i</w:t>
      </w:r>
      <w:r w:rsidRPr="00483DC7">
        <w:rPr>
          <w:lang w:val="ro-MD"/>
        </w:rPr>
        <w:t>țiale stabilite au expirat, fiind prelun</w:t>
      </w:r>
      <w:r w:rsidR="00B35036" w:rsidRPr="00483DC7">
        <w:rPr>
          <w:lang w:val="ro-MD"/>
        </w:rPr>
        <w:t xml:space="preserve">gite cu acordul finanțatorilor. În acest sens, </w:t>
      </w:r>
      <w:r w:rsidR="00BB550A" w:rsidRPr="00483DC7">
        <w:rPr>
          <w:lang w:val="ro-MD"/>
        </w:rPr>
        <w:t xml:space="preserve">către </w:t>
      </w:r>
      <w:r w:rsidR="00B35036" w:rsidRPr="00483DC7">
        <w:rPr>
          <w:lang w:val="ro-MD"/>
        </w:rPr>
        <w:t>UIPFAE</w:t>
      </w:r>
      <w:r w:rsidR="00BB550A" w:rsidRPr="00483DC7">
        <w:rPr>
          <w:lang w:val="ro-MD"/>
        </w:rPr>
        <w:t xml:space="preserve"> </w:t>
      </w:r>
      <w:r w:rsidR="00B35036" w:rsidRPr="00483DC7">
        <w:rPr>
          <w:lang w:val="ro-MD"/>
        </w:rPr>
        <w:t>au fost delegate responsabilități de a asigura executarea corespunzătoare a planurilor stabilite, astfel încât rezultatele să fie în conformitate cu obiectivele stabilite în acordurile de finanțare.</w:t>
      </w:r>
    </w:p>
    <w:p w14:paraId="55CC6977" w14:textId="5ACC9750" w:rsidR="0096723A" w:rsidRPr="00483DC7" w:rsidRDefault="00B35036" w:rsidP="00B35036">
      <w:pPr>
        <w:pStyle w:val="NormalWeb"/>
        <w:spacing w:before="0" w:beforeAutospacing="0" w:after="0" w:afterAutospacing="0" w:line="276" w:lineRule="auto"/>
        <w:ind w:firstLine="709"/>
        <w:jc w:val="both"/>
        <w:rPr>
          <w:lang w:val="ro-MD"/>
        </w:rPr>
      </w:pPr>
      <w:r w:rsidRPr="00483DC7">
        <w:rPr>
          <w:lang w:val="ro-MD"/>
        </w:rPr>
        <w:t>Potrivit principiilor generale de management, dar și de bună guvernare, în vederea asigurării implementării unor activități</w:t>
      </w:r>
      <w:r w:rsidR="00902E3C">
        <w:rPr>
          <w:lang w:val="ro-MD"/>
        </w:rPr>
        <w:t xml:space="preserve"> și</w:t>
      </w:r>
      <w:r w:rsidRPr="00483DC7">
        <w:rPr>
          <w:lang w:val="ro-MD"/>
        </w:rPr>
        <w:t xml:space="preserve"> a putea fi asigurată performanța </w:t>
      </w:r>
      <w:r w:rsidR="005A76C0">
        <w:rPr>
          <w:lang w:val="ro-MD"/>
        </w:rPr>
        <w:t>acestora</w:t>
      </w:r>
      <w:r w:rsidR="00160ED9">
        <w:rPr>
          <w:lang w:val="ro-MD"/>
        </w:rPr>
        <w:t>,</w:t>
      </w:r>
      <w:r w:rsidRPr="00483DC7">
        <w:rPr>
          <w:lang w:val="ro-MD"/>
        </w:rPr>
        <w:t xml:space="preserve"> </w:t>
      </w:r>
      <w:r w:rsidR="005A76C0">
        <w:rPr>
          <w:lang w:val="ro-MD"/>
        </w:rPr>
        <w:t>este</w:t>
      </w:r>
      <w:r w:rsidRPr="00483DC7">
        <w:rPr>
          <w:lang w:val="ro-MD"/>
        </w:rPr>
        <w:t xml:space="preserve"> necesar</w:t>
      </w:r>
      <w:r w:rsidR="005A76C0">
        <w:rPr>
          <w:lang w:val="ro-MD"/>
        </w:rPr>
        <w:t>ă</w:t>
      </w:r>
      <w:r w:rsidRPr="00483DC7">
        <w:rPr>
          <w:lang w:val="ro-MD"/>
        </w:rPr>
        <w:t xml:space="preserve"> întrunirea câtorva condiții caracteristice ciclului de management al proiectelor. Astfel, unul din aceste elemente reprezintă imperativitatea existenței și implementării cadrului procedural care să înglobeze toate elementele de control intern managerial pentru a </w:t>
      </w:r>
      <w:r w:rsidR="00902E3C">
        <w:rPr>
          <w:lang w:val="ro-MD"/>
        </w:rPr>
        <w:t>garanta</w:t>
      </w:r>
      <w:r w:rsidRPr="00483DC7">
        <w:rPr>
          <w:lang w:val="ro-MD"/>
        </w:rPr>
        <w:t xml:space="preserve"> funcționarea principiilor control</w:t>
      </w:r>
      <w:r w:rsidR="005A76C0">
        <w:rPr>
          <w:lang w:val="ro-MD"/>
        </w:rPr>
        <w:t>ului</w:t>
      </w:r>
      <w:r w:rsidRPr="00483DC7">
        <w:rPr>
          <w:lang w:val="ro-MD"/>
        </w:rPr>
        <w:t xml:space="preserve"> financiar public intern. În acest sens, în special în cazul proiectelor care sunt finanțate din mijloace financiare conform acordurilor de finanțare, UIPFAE trebuie să asigure cadrul procedural necesa</w:t>
      </w:r>
      <w:r w:rsidR="00160ED9">
        <w:rPr>
          <w:lang w:val="ro-MD"/>
        </w:rPr>
        <w:t>r și documentația administrativ-</w:t>
      </w:r>
      <w:r w:rsidRPr="00483DC7">
        <w:rPr>
          <w:lang w:val="ro-MD"/>
        </w:rPr>
        <w:t>organizațională.</w:t>
      </w:r>
    </w:p>
    <w:p w14:paraId="0674FC67" w14:textId="206C5E5B" w:rsidR="00B35036" w:rsidRPr="00483DC7" w:rsidRDefault="00B35036" w:rsidP="00427F18">
      <w:pPr>
        <w:pStyle w:val="NormalWeb"/>
        <w:spacing w:before="0" w:beforeAutospacing="0" w:after="240" w:afterAutospacing="0" w:line="276" w:lineRule="auto"/>
        <w:ind w:firstLine="709"/>
        <w:jc w:val="both"/>
        <w:rPr>
          <w:lang w:val="ro-MD"/>
        </w:rPr>
      </w:pPr>
      <w:r w:rsidRPr="00483DC7">
        <w:rPr>
          <w:lang w:val="ro-MD"/>
        </w:rPr>
        <w:t xml:space="preserve">Conform analizei informațiilor prezentate de către unitățile de implementare, acestea dețin în linii generale proceduri care să asigure un management calitativ al proiectelor, orientate spre obținerea rezultatelor scontate. Astfel, UIPFAE dețin un cadru operațional și de reglementare care este orientat spre asigurarea coerenței, transparenței și controlului asupra procesului de implementare, reglementând în esență standardele necesare pentru gestionare (vezi </w:t>
      </w:r>
      <w:r w:rsidRPr="00160ED9">
        <w:rPr>
          <w:b/>
          <w:lang w:val="ro-MD"/>
        </w:rPr>
        <w:t>Figura nr. 3</w:t>
      </w:r>
      <w:r w:rsidRPr="00483DC7">
        <w:rPr>
          <w:lang w:val="ro-MD"/>
        </w:rPr>
        <w:t>).</w:t>
      </w:r>
    </w:p>
    <w:p w14:paraId="173092EF" w14:textId="786C9F8F" w:rsidR="00B35036" w:rsidRPr="00483DC7" w:rsidRDefault="00B35036" w:rsidP="00B35036">
      <w:pPr>
        <w:pStyle w:val="NormalWeb"/>
        <w:spacing w:before="0" w:beforeAutospacing="0" w:after="240" w:afterAutospacing="0" w:line="276" w:lineRule="auto"/>
        <w:ind w:firstLine="709"/>
        <w:jc w:val="right"/>
        <w:rPr>
          <w:b/>
          <w:sz w:val="20"/>
          <w:szCs w:val="20"/>
          <w:lang w:val="ro-MD"/>
        </w:rPr>
      </w:pPr>
      <w:r w:rsidRPr="00483DC7">
        <w:rPr>
          <w:noProof/>
        </w:rPr>
        <w:lastRenderedPageBreak/>
        <w:drawing>
          <wp:anchor distT="0" distB="0" distL="114300" distR="114300" simplePos="0" relativeHeight="251665408" behindDoc="0" locked="0" layoutInCell="1" allowOverlap="1" wp14:anchorId="7C01616C" wp14:editId="488E0C91">
            <wp:simplePos x="0" y="0"/>
            <wp:positionH relativeFrom="column">
              <wp:posOffset>-20320</wp:posOffset>
            </wp:positionH>
            <wp:positionV relativeFrom="paragraph">
              <wp:posOffset>186690</wp:posOffset>
            </wp:positionV>
            <wp:extent cx="5962650" cy="3634740"/>
            <wp:effectExtent l="0" t="0" r="19050" b="22860"/>
            <wp:wrapTopAndBottom/>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483DC7">
        <w:rPr>
          <w:b/>
          <w:sz w:val="20"/>
          <w:szCs w:val="20"/>
          <w:lang w:val="ro-MD"/>
        </w:rPr>
        <w:t>Figura nr.3: Standardele de calitate pentru gestionarea eficientă a proiectelor de către UIPFAE</w:t>
      </w:r>
    </w:p>
    <w:p w14:paraId="3DC52EC8" w14:textId="2CA9FAC1" w:rsidR="00B35036" w:rsidRPr="00483DC7" w:rsidRDefault="00B35036" w:rsidP="00B35036">
      <w:pPr>
        <w:pStyle w:val="NormalWeb"/>
        <w:spacing w:before="0" w:beforeAutospacing="0" w:after="240" w:afterAutospacing="0" w:line="276" w:lineRule="auto"/>
        <w:ind w:firstLine="709"/>
        <w:jc w:val="center"/>
        <w:rPr>
          <w:i/>
          <w:sz w:val="20"/>
          <w:szCs w:val="20"/>
          <w:lang w:val="ro-MD"/>
        </w:rPr>
      </w:pPr>
      <w:r w:rsidRPr="00483DC7">
        <w:rPr>
          <w:i/>
          <w:sz w:val="20"/>
          <w:szCs w:val="20"/>
          <w:lang w:val="ro-MD"/>
        </w:rPr>
        <w:t>Sursa: Diagramă realizată de către auditor în baza procedurilor prezentate de către UIPFAE.</w:t>
      </w:r>
    </w:p>
    <w:p w14:paraId="76DDE8E1" w14:textId="77777777" w:rsidR="00317732" w:rsidRDefault="00427F18" w:rsidP="00427F18">
      <w:pPr>
        <w:pStyle w:val="NormalWeb"/>
        <w:spacing w:before="0" w:beforeAutospacing="0" w:after="0" w:afterAutospacing="0" w:line="276" w:lineRule="auto"/>
        <w:ind w:firstLine="709"/>
        <w:jc w:val="both"/>
        <w:rPr>
          <w:lang w:val="ro-MD"/>
        </w:rPr>
      </w:pPr>
      <w:r w:rsidRPr="00483DC7">
        <w:rPr>
          <w:lang w:val="ro-MD"/>
        </w:rPr>
        <w:t xml:space="preserve">Analiza procedurilor relevă faptul că acestea nu sunt uniforme, fiind variate în </w:t>
      </w:r>
      <w:r w:rsidRPr="00483DC7">
        <w:rPr>
          <w:b/>
          <w:i/>
          <w:lang w:val="ro-MD"/>
        </w:rPr>
        <w:t>detaliere, aprobare și reglementări</w:t>
      </w:r>
      <w:r w:rsidRPr="00483DC7">
        <w:rPr>
          <w:i/>
          <w:lang w:val="ro-MD"/>
        </w:rPr>
        <w:t>.</w:t>
      </w:r>
      <w:r w:rsidRPr="00483DC7">
        <w:rPr>
          <w:lang w:val="ro-MD"/>
        </w:rPr>
        <w:t xml:space="preserve"> Diferențele determină standarde diferite de calitate între proiecte, or, proiectele care dispun de proceduri detaliate și aprobate la nivel de organe colegiale de supraveghere beneficiază de un cadru mai solid și de o supraveghere mai riguroasă, comparativ cu cele pentru care procedurile sunt aprobate intern, de către conducerea unității. </w:t>
      </w:r>
    </w:p>
    <w:p w14:paraId="326C552D" w14:textId="6E60F3B6" w:rsidR="00427F18" w:rsidRPr="00483DC7" w:rsidRDefault="00427F18" w:rsidP="00427F18">
      <w:pPr>
        <w:pStyle w:val="NormalWeb"/>
        <w:spacing w:before="0" w:beforeAutospacing="0" w:after="0" w:afterAutospacing="0" w:line="276" w:lineRule="auto"/>
        <w:ind w:firstLine="709"/>
        <w:jc w:val="both"/>
        <w:rPr>
          <w:lang w:val="ro-MD"/>
        </w:rPr>
      </w:pPr>
      <w:r w:rsidRPr="00483DC7">
        <w:rPr>
          <w:lang w:val="ro-MD"/>
        </w:rPr>
        <w:t>Totodată</w:t>
      </w:r>
      <w:r w:rsidR="00160ED9">
        <w:rPr>
          <w:lang w:val="ro-MD"/>
        </w:rPr>
        <w:t>,</w:t>
      </w:r>
      <w:r w:rsidRPr="00483DC7">
        <w:rPr>
          <w:lang w:val="ro-MD"/>
        </w:rPr>
        <w:t xml:space="preserve"> sublinie</w:t>
      </w:r>
      <w:r w:rsidR="00B35036" w:rsidRPr="00483DC7">
        <w:rPr>
          <w:lang w:val="ro-MD"/>
        </w:rPr>
        <w:t>m</w:t>
      </w:r>
      <w:r w:rsidRPr="00483DC7">
        <w:rPr>
          <w:lang w:val="ro-MD"/>
        </w:rPr>
        <w:t xml:space="preserve"> că procedurile aprobate de organele colegiale de supraveghere și reglementate de finanțatori asigură un nivel mai mare de responsabilitate și transparență, datorită procesului decizional amplu și verificărilor suplimentare. În contrast, procedurile aprobate doar de conducerea unității pot</w:t>
      </w:r>
      <w:r w:rsidR="00160ED9">
        <w:rPr>
          <w:lang w:val="ro-MD"/>
        </w:rPr>
        <w:t xml:space="preserve"> fi</w:t>
      </w:r>
      <w:r w:rsidRPr="00483DC7">
        <w:rPr>
          <w:lang w:val="ro-MD"/>
        </w:rPr>
        <w:t xml:space="preserve"> lipsi</w:t>
      </w:r>
      <w:r w:rsidR="00160ED9">
        <w:rPr>
          <w:lang w:val="ro-MD"/>
        </w:rPr>
        <w:t>te</w:t>
      </w:r>
      <w:r w:rsidRPr="00483DC7">
        <w:rPr>
          <w:lang w:val="ro-MD"/>
        </w:rPr>
        <w:t xml:space="preserve"> de transparență și rigurozitate, afectând astfel percepția asupra integrității și responsabilității în implementare. </w:t>
      </w:r>
    </w:p>
    <w:p w14:paraId="010C67E2" w14:textId="3A3F510C" w:rsidR="00427F18" w:rsidRPr="00483DC7" w:rsidRDefault="00427F18" w:rsidP="00B35036">
      <w:pPr>
        <w:pStyle w:val="NormalWeb"/>
        <w:spacing w:before="0" w:beforeAutospacing="0" w:after="0" w:afterAutospacing="0" w:line="276" w:lineRule="auto"/>
        <w:ind w:firstLine="709"/>
        <w:jc w:val="both"/>
        <w:rPr>
          <w:lang w:val="ro-MD"/>
        </w:rPr>
      </w:pPr>
      <w:r w:rsidRPr="00483DC7">
        <w:rPr>
          <w:lang w:val="ro-MD"/>
        </w:rPr>
        <w:t>În acest sens se exemplifică că unele proceduri operaționale de implementare a proiectelor nu explică detaliat responsabilitățile</w:t>
      </w:r>
      <w:r w:rsidR="003A43B0">
        <w:rPr>
          <w:lang w:val="ro-MD"/>
        </w:rPr>
        <w:t xml:space="preserve"> și activitățile</w:t>
      </w:r>
      <w:r w:rsidRPr="00483DC7">
        <w:rPr>
          <w:lang w:val="ro-MD"/>
        </w:rPr>
        <w:t xml:space="preserve"> unor actori implicați în procesu</w:t>
      </w:r>
      <w:r w:rsidR="00160ED9">
        <w:rPr>
          <w:lang w:val="ro-MD"/>
        </w:rPr>
        <w:t>l de implementare a proiectelor</w:t>
      </w:r>
      <w:r w:rsidRPr="00483DC7">
        <w:rPr>
          <w:lang w:val="ro-MD"/>
        </w:rPr>
        <w:t>. Totodată</w:t>
      </w:r>
      <w:r w:rsidR="00160ED9">
        <w:rPr>
          <w:lang w:val="ro-MD"/>
        </w:rPr>
        <w:t>,</w:t>
      </w:r>
      <w:r w:rsidRPr="00483DC7">
        <w:rPr>
          <w:lang w:val="ro-MD"/>
        </w:rPr>
        <w:t xml:space="preserve"> în manualele de implementare a proiectelor ale unor UIPFAE</w:t>
      </w:r>
      <w:r w:rsidR="00160ED9">
        <w:rPr>
          <w:lang w:val="ro-MD"/>
        </w:rPr>
        <w:t>,</w:t>
      </w:r>
      <w:r w:rsidRPr="00483DC7">
        <w:rPr>
          <w:lang w:val="ro-MD"/>
        </w:rPr>
        <w:t xml:space="preserve"> termenele de implementare nu sunt foarte detaliate, fiind evitată stabilirea unor termene fixe și clare, în special pentru etapele de raportare și evaluare intermediară sau ar fi potrivită completarea acestora cu anumite proceduri standardizate cu referire la achiziții, în special privind verificarea eligibilității costurilor și a c</w:t>
      </w:r>
      <w:r w:rsidR="00B35036" w:rsidRPr="00483DC7">
        <w:rPr>
          <w:lang w:val="ro-MD"/>
        </w:rPr>
        <w:t>erințelor de raportare</w:t>
      </w:r>
      <w:r w:rsidRPr="00483DC7">
        <w:rPr>
          <w:rStyle w:val="FootnoteReference"/>
          <w:lang w:val="ro-MD"/>
        </w:rPr>
        <w:footnoteReference w:id="72"/>
      </w:r>
      <w:r w:rsidR="00B35036" w:rsidRPr="00483DC7">
        <w:rPr>
          <w:lang w:val="ro-MD"/>
        </w:rPr>
        <w:t xml:space="preserve">. Informații detaliate privind documentele și procedurile necesare pentru a asigura managementul calității în procesul de implementare a Proiectelor sunt prezentate în </w:t>
      </w:r>
      <w:r w:rsidR="00B35036" w:rsidRPr="00483DC7">
        <w:rPr>
          <w:b/>
          <w:lang w:val="ro-MD"/>
        </w:rPr>
        <w:t>Anexa nr.</w:t>
      </w:r>
      <w:r w:rsidR="00A94AD5" w:rsidRPr="00483DC7">
        <w:rPr>
          <w:b/>
          <w:lang w:val="ro-MD"/>
        </w:rPr>
        <w:t>6</w:t>
      </w:r>
      <w:r w:rsidR="00B35036" w:rsidRPr="00483DC7">
        <w:rPr>
          <w:lang w:val="ro-MD"/>
        </w:rPr>
        <w:t xml:space="preserve">. </w:t>
      </w:r>
    </w:p>
    <w:p w14:paraId="1B342836" w14:textId="77777777"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Totodată, eficiența implementării proiectelor gestionate de către unități depinde și de capacitatea instituțională a unității, disponibilitatea resurselor, implicarea beneficiarilor, capacitatea instituțională a autorităților publice cu care colaborează și altele.</w:t>
      </w:r>
    </w:p>
    <w:p w14:paraId="3AF74FB9" w14:textId="0EB66E96"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Evaluările efectuate stabilesc că majoritatea din acestea au elaborat termeni de referință sau chiar și studii de fezabilitate, au monitorizat progresul lucrărilor de construcție, au contractat experți, au asigurat respectarea specificațiilor tehnice și a calendarului, efectuând:</w:t>
      </w:r>
    </w:p>
    <w:p w14:paraId="3CBA3736" w14:textId="5D21DCB4" w:rsidR="005D5E5B" w:rsidRPr="00483DC7" w:rsidRDefault="003A43B0" w:rsidP="005D5E5B">
      <w:pPr>
        <w:pStyle w:val="NormalWeb"/>
        <w:numPr>
          <w:ilvl w:val="0"/>
          <w:numId w:val="7"/>
        </w:numPr>
        <w:spacing w:before="0" w:beforeAutospacing="0" w:after="0" w:afterAutospacing="0" w:line="276" w:lineRule="auto"/>
        <w:ind w:left="0" w:firstLine="360"/>
        <w:jc w:val="both"/>
        <w:rPr>
          <w:lang w:val="ro-MD"/>
        </w:rPr>
      </w:pPr>
      <w:r>
        <w:rPr>
          <w:b/>
          <w:i/>
          <w:lang w:val="ro-MD"/>
        </w:rPr>
        <w:lastRenderedPageBreak/>
        <w:t>p</w:t>
      </w:r>
      <w:r w:rsidR="005D5E5B" w:rsidRPr="00483DC7">
        <w:rPr>
          <w:b/>
          <w:i/>
          <w:lang w:val="ro-MD"/>
        </w:rPr>
        <w:t>lanificarea și organizarea activităților</w:t>
      </w:r>
      <w:r w:rsidR="005D5E5B" w:rsidRPr="00483DC7">
        <w:rPr>
          <w:lang w:val="ro-MD"/>
        </w:rPr>
        <w:t xml:space="preserve"> </w:t>
      </w:r>
      <w:r w:rsidRPr="00483DC7">
        <w:rPr>
          <w:lang w:val="ro-MD"/>
        </w:rPr>
        <w:t>–</w:t>
      </w:r>
      <w:r w:rsidR="005D5E5B" w:rsidRPr="00483DC7">
        <w:rPr>
          <w:lang w:val="ro-MD"/>
        </w:rPr>
        <w:t xml:space="preserve"> toate UIPFAE au elaborat planuri de implementare care să includă obiectivele, resursele, etapele și termenele limită.</w:t>
      </w:r>
    </w:p>
    <w:p w14:paraId="4EE4E5A3" w14:textId="68EB8104" w:rsidR="005D5E5B" w:rsidRPr="00483DC7" w:rsidRDefault="003A43B0" w:rsidP="005D5E5B">
      <w:pPr>
        <w:pStyle w:val="NormalWeb"/>
        <w:numPr>
          <w:ilvl w:val="0"/>
          <w:numId w:val="7"/>
        </w:numPr>
        <w:spacing w:before="0" w:beforeAutospacing="0" w:after="0" w:afterAutospacing="0" w:line="276" w:lineRule="auto"/>
        <w:ind w:left="0" w:firstLine="360"/>
        <w:jc w:val="both"/>
        <w:rPr>
          <w:lang w:val="ro-MD"/>
        </w:rPr>
      </w:pPr>
      <w:r>
        <w:rPr>
          <w:b/>
          <w:i/>
          <w:lang w:val="ro-MD"/>
        </w:rPr>
        <w:t>c</w:t>
      </w:r>
      <w:r w:rsidR="005D5E5B" w:rsidRPr="00483DC7">
        <w:rPr>
          <w:b/>
          <w:i/>
          <w:lang w:val="ro-MD"/>
        </w:rPr>
        <w:t>oordonarea echipelor</w:t>
      </w:r>
      <w:r w:rsidR="005D5E5B" w:rsidRPr="00483DC7">
        <w:rPr>
          <w:lang w:val="ro-MD"/>
        </w:rPr>
        <w:t xml:space="preserve"> </w:t>
      </w:r>
      <w:r w:rsidRPr="00483DC7">
        <w:rPr>
          <w:lang w:val="ro-MD"/>
        </w:rPr>
        <w:t>–</w:t>
      </w:r>
      <w:r w:rsidR="005D5E5B" w:rsidRPr="00483DC7">
        <w:rPr>
          <w:lang w:val="ro-MD"/>
        </w:rPr>
        <w:t xml:space="preserve"> unitățile, prin prisma sarcinilor atribuite</w:t>
      </w:r>
      <w:r>
        <w:rPr>
          <w:lang w:val="ro-MD"/>
        </w:rPr>
        <w:t>,</w:t>
      </w:r>
      <w:r w:rsidR="005D5E5B" w:rsidRPr="00483DC7">
        <w:rPr>
          <w:lang w:val="ro-MD"/>
        </w:rPr>
        <w:t xml:space="preserve"> au avut rolul de a asigura că fiecare activitate este realizată conform standardelor și la timp, de către echipele multidisciplinare, în condițiile unei crize  de resurse umane pe piața forței de muncă. Nu de puține ori Unitățile au recurs la anunțuri și concursuri repetate pentru a asigura contractarea experților necesari</w:t>
      </w:r>
      <w:r w:rsidR="005D5E5B" w:rsidRPr="00483DC7">
        <w:rPr>
          <w:rStyle w:val="FootnoteReference"/>
          <w:lang w:val="ro-MD"/>
        </w:rPr>
        <w:footnoteReference w:id="73"/>
      </w:r>
      <w:r w:rsidR="005D5E5B" w:rsidRPr="00483DC7">
        <w:rPr>
          <w:lang w:val="ro-MD"/>
        </w:rPr>
        <w:t xml:space="preserve"> care să corespundă cu cerințele specifice de implementare ale proiectelor. Totodată</w:t>
      </w:r>
      <w:r>
        <w:rPr>
          <w:lang w:val="ro-MD"/>
        </w:rPr>
        <w:t>,</w:t>
      </w:r>
      <w:r w:rsidR="005D5E5B" w:rsidRPr="00483DC7">
        <w:rPr>
          <w:lang w:val="ro-MD"/>
        </w:rPr>
        <w:t xml:space="preserve"> se subliniază că unele UIPFAE nu au reușit contractarea specialiștilor necesari în termen</w:t>
      </w:r>
      <w:r>
        <w:rPr>
          <w:lang w:val="ro-MD"/>
        </w:rPr>
        <w:t>e</w:t>
      </w:r>
      <w:r w:rsidR="005D5E5B" w:rsidRPr="00483DC7">
        <w:rPr>
          <w:lang w:val="ro-MD"/>
        </w:rPr>
        <w:t xml:space="preserve"> util</w:t>
      </w:r>
      <w:r>
        <w:rPr>
          <w:lang w:val="ro-MD"/>
        </w:rPr>
        <w:t>e</w:t>
      </w:r>
      <w:r w:rsidR="005D5E5B" w:rsidRPr="00483DC7">
        <w:rPr>
          <w:lang w:val="ro-MD"/>
        </w:rPr>
        <w:t>, sau au contractat experți care în timp s-au dovedit a fi ineficienți</w:t>
      </w:r>
      <w:r w:rsidR="005D5E5B" w:rsidRPr="00483DC7">
        <w:rPr>
          <w:rStyle w:val="FootnoteReference"/>
          <w:lang w:val="ro-MD"/>
        </w:rPr>
        <w:footnoteReference w:id="74"/>
      </w:r>
      <w:r w:rsidR="005D5E5B" w:rsidRPr="00483DC7">
        <w:rPr>
          <w:lang w:val="ro-MD"/>
        </w:rPr>
        <w:t>, ceea ce a determinat tergiversarea implementării proiectelor, repetarea concursurilor de angajare sau chiar eșecul acestora</w:t>
      </w:r>
      <w:r w:rsidR="005D5E5B" w:rsidRPr="00483DC7">
        <w:rPr>
          <w:rStyle w:val="FootnoteReference"/>
          <w:lang w:val="ro-MD"/>
        </w:rPr>
        <w:footnoteReference w:id="75"/>
      </w:r>
      <w:r w:rsidR="005D5E5B" w:rsidRPr="00483DC7">
        <w:rPr>
          <w:lang w:val="ro-MD"/>
        </w:rPr>
        <w:t>. În scopul implementării mecanismelor clare de comunicare și colaborare între echipe, în lipsa unor reglementări clare naționale uniforme orientate spre managementul proiectului, marea majoritate a UIPFAE au adoptat practici și ghiduri de implementare ale finanțatorilor sau din surse internaționale (cum ar fi ghidurile emise de Banca Mondială, ONU sau Uniunea Europeană), ceea ce determină lipsa  de uniformitate a procesului. În acest sens se subliniază că</w:t>
      </w:r>
      <w:r>
        <w:rPr>
          <w:lang w:val="ro-MD"/>
        </w:rPr>
        <w:t>,</w:t>
      </w:r>
      <w:r w:rsidR="006824D8">
        <w:rPr>
          <w:lang w:val="ro-MD"/>
        </w:rPr>
        <w:t xml:space="preserve"> deși</w:t>
      </w:r>
      <w:r w:rsidR="005D5E5B" w:rsidRPr="00483DC7">
        <w:rPr>
          <w:lang w:val="ro-MD"/>
        </w:rPr>
        <w:t xml:space="preserve"> UIPFAE-urile aplică în procesul de planificare, execuție și monitorizare principii asemănătoare, totuși există și diferențe care determină de cele mai multe ori imposibilitatea de comparare a mecanismelor de implementare și identificare a unor îndrumări valabile tuturor. </w:t>
      </w:r>
    </w:p>
    <w:p w14:paraId="3E4A81F2" w14:textId="2CDAE7FD" w:rsidR="005D5E5B" w:rsidRPr="00483DC7" w:rsidRDefault="003A43B0" w:rsidP="005D5E5B">
      <w:pPr>
        <w:pStyle w:val="NormalWeb"/>
        <w:numPr>
          <w:ilvl w:val="0"/>
          <w:numId w:val="7"/>
        </w:numPr>
        <w:spacing w:before="0" w:beforeAutospacing="0" w:after="0" w:afterAutospacing="0" w:line="276" w:lineRule="auto"/>
        <w:ind w:left="0" w:firstLine="360"/>
        <w:jc w:val="both"/>
        <w:rPr>
          <w:lang w:val="ro-MD"/>
        </w:rPr>
      </w:pPr>
      <w:r>
        <w:rPr>
          <w:b/>
          <w:i/>
          <w:lang w:val="ro-MD"/>
        </w:rPr>
        <w:t>m</w:t>
      </w:r>
      <w:r w:rsidR="005D5E5B" w:rsidRPr="00483DC7">
        <w:rPr>
          <w:b/>
          <w:i/>
          <w:lang w:val="ro-MD"/>
        </w:rPr>
        <w:t xml:space="preserve">onitorizarea și raportarea progresului </w:t>
      </w:r>
      <w:r w:rsidRPr="00483DC7">
        <w:rPr>
          <w:lang w:val="ro-MD"/>
        </w:rPr>
        <w:t>–</w:t>
      </w:r>
      <w:r w:rsidR="005D5E5B" w:rsidRPr="00483DC7">
        <w:rPr>
          <w:lang w:val="ro-MD"/>
        </w:rPr>
        <w:t xml:space="preserve"> obligațiunea de monitorizare și raportare a progresului reprezintă unul din elementele de bază de eficiență ale Managementului proiectelor. Prin urmare, evaluarea continuă a stadiului proiectului și raportarea către finanțatori și autorități a progresului, inclusiv raportarea eventualelor abateri</w:t>
      </w:r>
      <w:r w:rsidR="006824D8">
        <w:rPr>
          <w:lang w:val="ro-MD"/>
        </w:rPr>
        <w:t>,</w:t>
      </w:r>
      <w:r w:rsidR="005D5E5B" w:rsidRPr="00483DC7">
        <w:rPr>
          <w:lang w:val="ro-MD"/>
        </w:rPr>
        <w:t xml:space="preserve"> este imp</w:t>
      </w:r>
      <w:r>
        <w:rPr>
          <w:lang w:val="ro-MD"/>
        </w:rPr>
        <w:t>erativă. UIPFAE au implementat</w:t>
      </w:r>
      <w:r w:rsidR="005D5E5B" w:rsidRPr="00483DC7">
        <w:rPr>
          <w:lang w:val="ro-MD"/>
        </w:rPr>
        <w:t xml:space="preserve"> mecanisme de raportare, unele din acestea fiind în cadrul unor sisteme informaționale oferite de către finanțatori. Totodată, se subliniază că nu to</w:t>
      </w:r>
      <w:r>
        <w:rPr>
          <w:lang w:val="ro-MD"/>
        </w:rPr>
        <w:t>ate UIPFAE-urile au implementat</w:t>
      </w:r>
      <w:r w:rsidR="005D5E5B" w:rsidRPr="00483DC7">
        <w:rPr>
          <w:lang w:val="ro-MD"/>
        </w:rPr>
        <w:t xml:space="preserve"> mecanisme de monitorizare în timp real a progresului și a problemelor apărute, astfel încât să se poată răspunde</w:t>
      </w:r>
      <w:r w:rsidR="006824D8">
        <w:rPr>
          <w:lang w:val="ro-MD"/>
        </w:rPr>
        <w:t xml:space="preserve"> operativ, în format prestabilit</w:t>
      </w:r>
      <w:r w:rsidR="005D5E5B" w:rsidRPr="00483DC7">
        <w:rPr>
          <w:lang w:val="ro-MD"/>
        </w:rPr>
        <w:t>, cu privire la indicatorii de progres sau alte aspect</w:t>
      </w:r>
      <w:r w:rsidR="006824D8">
        <w:rPr>
          <w:lang w:val="ro-MD"/>
        </w:rPr>
        <w:t>e</w:t>
      </w:r>
      <w:r w:rsidR="005D5E5B" w:rsidRPr="00483DC7">
        <w:rPr>
          <w:lang w:val="ro-MD"/>
        </w:rPr>
        <w:t xml:space="preserve"> care pot releva elementele unui sistem de control intern eficient. Aici se subliniază deficiența mecanismului de monitorizare și raportare prin intermediul organelor de supraveghere. Astfel</w:t>
      </w:r>
      <w:r>
        <w:rPr>
          <w:lang w:val="ro-MD"/>
        </w:rPr>
        <w:t>,</w:t>
      </w:r>
      <w:r w:rsidR="005D5E5B" w:rsidRPr="00483DC7">
        <w:rPr>
          <w:lang w:val="ro-MD"/>
        </w:rPr>
        <w:t xml:space="preserve"> neîntrunirea</w:t>
      </w:r>
      <w:r w:rsidR="005D5E5B" w:rsidRPr="00483DC7">
        <w:rPr>
          <w:rStyle w:val="FootnoteReference"/>
          <w:lang w:val="ro-MD"/>
        </w:rPr>
        <w:footnoteReference w:id="76"/>
      </w:r>
      <w:r w:rsidR="005D5E5B" w:rsidRPr="00483DC7">
        <w:rPr>
          <w:lang w:val="ro-MD"/>
        </w:rPr>
        <w:t xml:space="preserve"> sau organizarea unui umăr insuficient de ședințe</w:t>
      </w:r>
      <w:r w:rsidR="005D5E5B" w:rsidRPr="00483DC7">
        <w:rPr>
          <w:rStyle w:val="FootnoteReference"/>
          <w:lang w:val="ro-MD"/>
        </w:rPr>
        <w:footnoteReference w:id="77"/>
      </w:r>
      <w:r w:rsidR="005D5E5B" w:rsidRPr="00483DC7">
        <w:rPr>
          <w:lang w:val="ro-MD"/>
        </w:rPr>
        <w:t>, sau neexaminarea unor chestiuni prioritare pentru activitatea UIPFAE au limitat capacitatea factorilor de decizie de a interveni și a lua deciziile corespunzătoare necesare pentru a eficientiza implementarea proiectelor</w:t>
      </w:r>
      <w:r w:rsidR="005D5E5B" w:rsidRPr="00483DC7">
        <w:rPr>
          <w:rStyle w:val="FootnoteReference"/>
          <w:lang w:val="ro-MD"/>
        </w:rPr>
        <w:footnoteReference w:id="78"/>
      </w:r>
      <w:r w:rsidR="005D5E5B" w:rsidRPr="00483DC7">
        <w:rPr>
          <w:lang w:val="ro-MD"/>
        </w:rPr>
        <w:t>.</w:t>
      </w:r>
    </w:p>
    <w:p w14:paraId="4B67F1B0" w14:textId="6336F3C5" w:rsidR="005D5E5B" w:rsidRPr="00483DC7" w:rsidRDefault="003A43B0" w:rsidP="005D5E5B">
      <w:pPr>
        <w:pStyle w:val="NormalWeb"/>
        <w:numPr>
          <w:ilvl w:val="0"/>
          <w:numId w:val="7"/>
        </w:numPr>
        <w:spacing w:before="0" w:beforeAutospacing="0" w:after="0" w:afterAutospacing="0" w:line="276" w:lineRule="auto"/>
        <w:ind w:left="0" w:firstLine="360"/>
        <w:jc w:val="both"/>
        <w:rPr>
          <w:lang w:val="ro-MD"/>
        </w:rPr>
      </w:pPr>
      <w:r>
        <w:rPr>
          <w:b/>
          <w:i/>
          <w:lang w:val="ro-MD"/>
        </w:rPr>
        <w:t>g</w:t>
      </w:r>
      <w:r w:rsidR="005D5E5B" w:rsidRPr="00483DC7">
        <w:rPr>
          <w:b/>
          <w:i/>
          <w:lang w:val="ro-MD"/>
        </w:rPr>
        <w:t xml:space="preserve">estiunea financiară </w:t>
      </w:r>
      <w:r w:rsidRPr="00483DC7">
        <w:rPr>
          <w:lang w:val="ro-MD"/>
        </w:rPr>
        <w:t>–</w:t>
      </w:r>
      <w:r w:rsidR="005D5E5B" w:rsidRPr="00483DC7">
        <w:rPr>
          <w:b/>
          <w:i/>
          <w:lang w:val="ro-MD"/>
        </w:rPr>
        <w:t xml:space="preserve"> </w:t>
      </w:r>
      <w:r w:rsidR="005D5E5B" w:rsidRPr="00483DC7">
        <w:rPr>
          <w:lang w:val="ro-MD"/>
        </w:rPr>
        <w:t>unitățile au realizat</w:t>
      </w:r>
      <w:r w:rsidR="005D5E5B" w:rsidRPr="00483DC7">
        <w:rPr>
          <w:b/>
          <w:i/>
          <w:lang w:val="ro-MD"/>
        </w:rPr>
        <w:t xml:space="preserve"> </w:t>
      </w:r>
      <w:r w:rsidR="005D5E5B" w:rsidRPr="00483DC7">
        <w:rPr>
          <w:lang w:val="ro-MD"/>
        </w:rPr>
        <w:t>permanent activități de evidență și raportare a modului de utilizare a fondurilor, atât în conformitate cu cerințele finanțatorilor, dar și în corespundere cu prevederile normative naționale, în vederea menținerii unei transparențe financiare ridicate. Totodată se subliniază că acestea nu respectă același format de evidență contabilă națională, ceea ce identifică dificultăți în urmărirea nemijlocită a indicatorilor financiari, fără a fi necesară transpunerea în formulare comparative.</w:t>
      </w:r>
    </w:p>
    <w:p w14:paraId="0B81203A" w14:textId="3CC3ED7E" w:rsidR="00B35036" w:rsidRPr="00483DC7" w:rsidRDefault="003A43B0" w:rsidP="005D5E5B">
      <w:pPr>
        <w:pStyle w:val="NormalWeb"/>
        <w:numPr>
          <w:ilvl w:val="0"/>
          <w:numId w:val="7"/>
        </w:numPr>
        <w:spacing w:before="0" w:beforeAutospacing="0" w:after="0" w:afterAutospacing="0" w:line="276" w:lineRule="auto"/>
        <w:ind w:left="0" w:firstLine="360"/>
        <w:jc w:val="both"/>
        <w:rPr>
          <w:lang w:val="ro-MD"/>
        </w:rPr>
      </w:pPr>
      <w:r>
        <w:rPr>
          <w:b/>
          <w:i/>
          <w:lang w:val="ro-MD"/>
        </w:rPr>
        <w:t>g</w:t>
      </w:r>
      <w:r w:rsidR="005D5E5B" w:rsidRPr="00483DC7">
        <w:rPr>
          <w:b/>
          <w:i/>
          <w:lang w:val="ro-MD"/>
        </w:rPr>
        <w:t>estionarea riscurilor -</w:t>
      </w:r>
      <w:r w:rsidR="005D5E5B" w:rsidRPr="00483DC7">
        <w:rPr>
          <w:lang w:val="ro-MD"/>
        </w:rPr>
        <w:t xml:space="preserve"> gestionarea riscurilor este esențială în implementarea proiectelor finanțate din surse externe deoarece ajută la anticiparea și prevenirea problemelor care pot afecta atingerea obiectivelor și conformitatea cu termen</w:t>
      </w:r>
      <w:r>
        <w:rPr>
          <w:lang w:val="ro-MD"/>
        </w:rPr>
        <w:t>ele</w:t>
      </w:r>
      <w:r w:rsidR="005D5E5B" w:rsidRPr="00483DC7">
        <w:rPr>
          <w:lang w:val="ro-MD"/>
        </w:rPr>
        <w:t xml:space="preserve"> de finanțare. Identificarea și gestionarea riscurilor posibile contribuie la: i</w:t>
      </w:r>
      <w:r w:rsidR="006824D8">
        <w:rPr>
          <w:lang w:val="ro-MD"/>
        </w:rPr>
        <w:t>)</w:t>
      </w:r>
      <w:r w:rsidR="005D5E5B" w:rsidRPr="00483DC7">
        <w:rPr>
          <w:lang w:val="ro-MD"/>
        </w:rPr>
        <w:t xml:space="preserve"> asigurarea utiliz</w:t>
      </w:r>
      <w:r w:rsidR="006824D8">
        <w:rPr>
          <w:lang w:val="ro-MD"/>
        </w:rPr>
        <w:t>ării eficiente a resurselor; ii)</w:t>
      </w:r>
      <w:r w:rsidR="005D5E5B" w:rsidRPr="00483DC7">
        <w:rPr>
          <w:lang w:val="ro-MD"/>
        </w:rPr>
        <w:t xml:space="preserve"> </w:t>
      </w:r>
      <w:r w:rsidR="005D5E5B" w:rsidRPr="00483DC7">
        <w:rPr>
          <w:bCs/>
          <w:lang w:val="ro-MD"/>
        </w:rPr>
        <w:t xml:space="preserve">respectarea </w:t>
      </w:r>
      <w:r w:rsidR="005D5E5B" w:rsidRPr="00483DC7">
        <w:rPr>
          <w:bCs/>
          <w:lang w:val="ro-MD"/>
        </w:rPr>
        <w:lastRenderedPageBreak/>
        <w:t>termenelor și angajamentelor;</w:t>
      </w:r>
      <w:r w:rsidR="006824D8">
        <w:rPr>
          <w:lang w:val="ro-MD"/>
        </w:rPr>
        <w:t xml:space="preserve"> iii)</w:t>
      </w:r>
      <w:r w:rsidR="005D5E5B" w:rsidRPr="00483DC7">
        <w:rPr>
          <w:lang w:val="ro-MD"/>
        </w:rPr>
        <w:t xml:space="preserve"> m</w:t>
      </w:r>
      <w:r w:rsidR="005D5E5B" w:rsidRPr="00483DC7">
        <w:rPr>
          <w:bCs/>
          <w:lang w:val="ro-MD"/>
        </w:rPr>
        <w:t>enținerea conformității și relațiilor cu finanțatorii</w:t>
      </w:r>
      <w:r w:rsidR="006824D8">
        <w:rPr>
          <w:lang w:val="ro-MD"/>
        </w:rPr>
        <w:t xml:space="preserve"> și iv)</w:t>
      </w:r>
      <w:r w:rsidR="005D5E5B" w:rsidRPr="00483DC7">
        <w:rPr>
          <w:lang w:val="ro-MD"/>
        </w:rPr>
        <w:t xml:space="preserve"> reducerea impactului riscurilor asupra obiectivelor strategice.</w:t>
      </w:r>
    </w:p>
    <w:p w14:paraId="0E8876ED" w14:textId="796A403B" w:rsidR="00652CB7" w:rsidRPr="00483DC7" w:rsidRDefault="00427F18" w:rsidP="00427F18">
      <w:pPr>
        <w:pStyle w:val="NormalWeb"/>
        <w:spacing w:before="0" w:beforeAutospacing="0" w:after="0" w:afterAutospacing="0" w:line="276" w:lineRule="auto"/>
        <w:ind w:firstLine="709"/>
        <w:jc w:val="both"/>
        <w:rPr>
          <w:lang w:val="ro-MD"/>
        </w:rPr>
      </w:pPr>
      <w:r w:rsidRPr="00483DC7">
        <w:rPr>
          <w:lang w:val="ro-MD"/>
        </w:rPr>
        <w:t xml:space="preserve">Un alt aspect critic în procesul de asigurare a eficienței proiectelor implementate este </w:t>
      </w:r>
      <w:r w:rsidR="00652CB7" w:rsidRPr="00483DC7">
        <w:rPr>
          <w:lang w:val="ro-MD"/>
        </w:rPr>
        <w:t>in</w:t>
      </w:r>
      <w:r w:rsidRPr="00483DC7">
        <w:rPr>
          <w:lang w:val="ro-MD"/>
        </w:rPr>
        <w:t>existența unei strategii clare care să asigure continuitatea</w:t>
      </w:r>
      <w:r w:rsidR="00530853" w:rsidRPr="00483DC7">
        <w:rPr>
          <w:lang w:val="ro-MD"/>
        </w:rPr>
        <w:t xml:space="preserve"> și fezabilitatea investițiilor efectuate în cadrul proiectelor</w:t>
      </w:r>
      <w:r w:rsidRPr="00483DC7">
        <w:rPr>
          <w:lang w:val="ro-MD"/>
        </w:rPr>
        <w:t xml:space="preserve">. Analiza în acest sens a </w:t>
      </w:r>
      <w:r w:rsidR="003A43B0">
        <w:rPr>
          <w:lang w:val="ro-MD"/>
        </w:rPr>
        <w:t>procedurilor de implementare a</w:t>
      </w:r>
      <w:r w:rsidRPr="00483DC7">
        <w:rPr>
          <w:lang w:val="ro-MD"/>
        </w:rPr>
        <w:t xml:space="preserve"> unor proiecte relevă că acestea nu conțin reglemen</w:t>
      </w:r>
      <w:r w:rsidR="003A43B0">
        <w:rPr>
          <w:lang w:val="ro-MD"/>
        </w:rPr>
        <w:t>tări privind monitorizarea post-</w:t>
      </w:r>
      <w:r w:rsidRPr="00483DC7">
        <w:rPr>
          <w:lang w:val="ro-MD"/>
        </w:rPr>
        <w:t xml:space="preserve">implementare. </w:t>
      </w:r>
    </w:p>
    <w:p w14:paraId="41957B72" w14:textId="41C61FE6" w:rsidR="007F75EF" w:rsidRPr="00483DC7" w:rsidRDefault="007F75EF" w:rsidP="00427F18">
      <w:pPr>
        <w:pStyle w:val="NormalWeb"/>
        <w:spacing w:before="0" w:beforeAutospacing="0" w:after="0" w:afterAutospacing="0" w:line="276" w:lineRule="auto"/>
        <w:ind w:firstLine="709"/>
        <w:jc w:val="both"/>
        <w:rPr>
          <w:lang w:val="ro-MD"/>
        </w:rPr>
      </w:pPr>
      <w:r w:rsidRPr="00483DC7">
        <w:rPr>
          <w:lang w:val="ro-MD"/>
        </w:rPr>
        <w:t xml:space="preserve">Auditul denotă că, </w:t>
      </w:r>
      <w:r w:rsidR="00BB550A" w:rsidRPr="00483DC7">
        <w:rPr>
          <w:lang w:val="ro-MD"/>
        </w:rPr>
        <w:t xml:space="preserve">ținând cont de faptul că </w:t>
      </w:r>
      <w:r w:rsidRPr="00483DC7">
        <w:rPr>
          <w:lang w:val="ro-MD"/>
        </w:rPr>
        <w:t>după semnarea actelor de primire-predare</w:t>
      </w:r>
      <w:r w:rsidR="00317732">
        <w:rPr>
          <w:lang w:val="ro-MD"/>
        </w:rPr>
        <w:t>,</w:t>
      </w:r>
      <w:r w:rsidR="00BB550A" w:rsidRPr="00483DC7">
        <w:rPr>
          <w:lang w:val="ro-MD"/>
        </w:rPr>
        <w:t xml:space="preserve"> proprietar al investițiilor efectuate</w:t>
      </w:r>
      <w:r w:rsidRPr="00483DC7">
        <w:rPr>
          <w:lang w:val="ro-MD"/>
        </w:rPr>
        <w:t xml:space="preserve"> devine beneficiarul efectiv, este necesar să existe prevederi de re</w:t>
      </w:r>
      <w:r w:rsidR="008E54E4" w:rsidRPr="00483DC7">
        <w:rPr>
          <w:lang w:val="ro-MD"/>
        </w:rPr>
        <w:t xml:space="preserve">glementare a procedurilor de monitorizare a investițiilor efectuate, astfel încât să fie asigurat un mecanism clar de transfer al cunoștințelor și experienței dobândite către instituțiile relevante, pentru a garanta sustenabilitatea rezultatelor după finalizarea proiectului. </w:t>
      </w:r>
    </w:p>
    <w:p w14:paraId="4815F973" w14:textId="128FCF7C" w:rsidR="008E54E4" w:rsidRPr="00483DC7" w:rsidRDefault="00B56CB6" w:rsidP="00B56CB6">
      <w:pPr>
        <w:pStyle w:val="NormalWeb"/>
        <w:spacing w:before="0" w:beforeAutospacing="0" w:after="0" w:afterAutospacing="0" w:line="276" w:lineRule="auto"/>
        <w:ind w:firstLine="709"/>
        <w:jc w:val="both"/>
        <w:rPr>
          <w:lang w:val="ro-MD"/>
        </w:rPr>
      </w:pPr>
      <w:r w:rsidRPr="00483DC7">
        <w:rPr>
          <w:lang w:val="ro-MD"/>
        </w:rPr>
        <w:t>Astfel, d</w:t>
      </w:r>
      <w:r w:rsidR="008E54E4" w:rsidRPr="00483DC7">
        <w:rPr>
          <w:lang w:val="ro-MD"/>
        </w:rPr>
        <w:t xml:space="preserve">eși </w:t>
      </w:r>
      <w:r w:rsidRPr="00483DC7">
        <w:rPr>
          <w:lang w:val="ro-MD"/>
        </w:rPr>
        <w:t>m</w:t>
      </w:r>
      <w:r w:rsidR="00CB23D0" w:rsidRPr="00483DC7">
        <w:rPr>
          <w:lang w:val="ro-MD"/>
        </w:rPr>
        <w:t>anualul opera</w:t>
      </w:r>
      <w:r w:rsidRPr="00483DC7">
        <w:rPr>
          <w:lang w:val="ro-MD"/>
        </w:rPr>
        <w:t>țional „</w:t>
      </w:r>
      <w:r w:rsidR="00CB23D0" w:rsidRPr="00483DC7">
        <w:rPr>
          <w:lang w:val="ro-MD"/>
        </w:rPr>
        <w:t>pentru implementarea Proiectului de Eficiență Energetică în Încălzire Centralizată din Chișinău, faza a doua</w:t>
      </w:r>
      <w:r w:rsidR="008E54E4" w:rsidRPr="00483DC7">
        <w:rPr>
          <w:lang w:val="ro-MD"/>
        </w:rPr>
        <w:t>”</w:t>
      </w:r>
      <w:r w:rsidR="00CB23D0" w:rsidRPr="00483DC7">
        <w:rPr>
          <w:lang w:val="ro-MD"/>
        </w:rPr>
        <w:t xml:space="preserve"> subliniază importanța monitorizării indicatorilor de progres și a evaluării rezultatelor proiectelor, precum și obligativitatea obținerii unui certificat de performanță energetică ex-post pentru toate clădirile renovate, documentul nu detaliază mecanismele de corecție aplicabile în cazul în care indicatorii de performanță nu sunt atin</w:t>
      </w:r>
      <w:r w:rsidR="00DB4E2F" w:rsidRPr="00483DC7">
        <w:rPr>
          <w:lang w:val="ro-MD"/>
        </w:rPr>
        <w:t>ș</w:t>
      </w:r>
      <w:r w:rsidR="00CB23D0" w:rsidRPr="00483DC7">
        <w:rPr>
          <w:lang w:val="ro-MD"/>
        </w:rPr>
        <w:t>i. Această insuficiență conceptuală amplifică riscul ca investițiile să-și piardă din valoare</w:t>
      </w:r>
      <w:r w:rsidR="00DB4E2F" w:rsidRPr="00483DC7">
        <w:rPr>
          <w:lang w:val="ro-MD"/>
        </w:rPr>
        <w:t xml:space="preserve"> sau să fie compromisă</w:t>
      </w:r>
      <w:r w:rsidR="00CB23D0" w:rsidRPr="00483DC7">
        <w:rPr>
          <w:lang w:val="ro-MD"/>
        </w:rPr>
        <w:t xml:space="preserve"> odată cu încheierea sprijinului extern</w:t>
      </w:r>
      <w:r w:rsidR="00DB4E2F" w:rsidRPr="00483DC7">
        <w:rPr>
          <w:lang w:val="ro-MD"/>
        </w:rPr>
        <w:t xml:space="preserve"> și monitorizarea proiectului efectuată de UIPFAE </w:t>
      </w:r>
      <w:r w:rsidR="00317732">
        <w:rPr>
          <w:lang w:val="ro-MD"/>
        </w:rPr>
        <w:t>pe parcursul derulării</w:t>
      </w:r>
      <w:r w:rsidR="00DB4E2F" w:rsidRPr="00483DC7">
        <w:rPr>
          <w:lang w:val="ro-MD"/>
        </w:rPr>
        <w:t xml:space="preserve"> acestuia.</w:t>
      </w:r>
    </w:p>
    <w:p w14:paraId="111E20C2" w14:textId="6BF0F2B2" w:rsidR="007F75EF" w:rsidRPr="00483DC7" w:rsidRDefault="00CB23D0" w:rsidP="00B17177">
      <w:pPr>
        <w:pStyle w:val="NormalWeb"/>
        <w:spacing w:before="0" w:beforeAutospacing="0" w:after="0" w:afterAutospacing="0" w:line="276" w:lineRule="auto"/>
        <w:ind w:firstLine="709"/>
        <w:jc w:val="both"/>
        <w:rPr>
          <w:lang w:val="ro-MD"/>
        </w:rPr>
      </w:pPr>
      <w:r w:rsidRPr="00483DC7">
        <w:rPr>
          <w:lang w:val="ro-MD"/>
        </w:rPr>
        <w:t>Potrivit explicațiilor UCIPE</w:t>
      </w:r>
      <w:r w:rsidR="00B027E3">
        <w:rPr>
          <w:lang w:val="ro-MD"/>
        </w:rPr>
        <w:t>,</w:t>
      </w:r>
      <w:r w:rsidRPr="00483DC7">
        <w:rPr>
          <w:lang w:val="ro-MD"/>
        </w:rPr>
        <w:t xml:space="preserve"> „</w:t>
      </w:r>
      <w:r w:rsidR="00B027E3">
        <w:rPr>
          <w:lang w:val="ro-MD"/>
        </w:rPr>
        <w:t xml:space="preserve">... </w:t>
      </w:r>
      <w:r w:rsidRPr="00483DC7">
        <w:rPr>
          <w:lang w:val="ro-MD"/>
        </w:rPr>
        <w:t xml:space="preserve">în cazul Punctelor Termice Individuale (PTI), funcționarea și mentenanța echipamentelor vor fi gestionate de Termoelectrica (beneficiarul direct al proiectului și proprietarul echipamentelor), care este responsabilă pentru întreținerea acestora conform reglementărilor aplicabile. Termoelectrica </w:t>
      </w:r>
      <w:r w:rsidR="00B17177" w:rsidRPr="00483DC7">
        <w:rPr>
          <w:lang w:val="ro-MD"/>
        </w:rPr>
        <w:t>dispune de resursele necesare pentru a asigura funcționarea corespunzătoare pe termen lung, iar monitorizarea continuă a echipamentelor face parte din atribuțiile sale ...”</w:t>
      </w:r>
      <w:r w:rsidR="00B56CB6" w:rsidRPr="00483DC7">
        <w:rPr>
          <w:lang w:val="ro-MD"/>
        </w:rPr>
        <w:t>.</w:t>
      </w:r>
    </w:p>
    <w:p w14:paraId="247D1707" w14:textId="4E8CC593" w:rsidR="001342F2" w:rsidRPr="00483DC7" w:rsidRDefault="00AC1FE8" w:rsidP="00427F18">
      <w:pPr>
        <w:pStyle w:val="NormalWeb"/>
        <w:spacing w:before="0" w:beforeAutospacing="0" w:after="0" w:afterAutospacing="0" w:line="276" w:lineRule="auto"/>
        <w:ind w:firstLine="709"/>
        <w:jc w:val="both"/>
        <w:rPr>
          <w:lang w:val="ro-MD"/>
        </w:rPr>
      </w:pPr>
      <w:r w:rsidRPr="00483DC7">
        <w:rPr>
          <w:lang w:val="ro-MD"/>
        </w:rPr>
        <w:t>La fel</w:t>
      </w:r>
      <w:r w:rsidR="007F75EF" w:rsidRPr="00483DC7">
        <w:rPr>
          <w:lang w:val="ro-MD"/>
        </w:rPr>
        <w:t>,</w:t>
      </w:r>
      <w:r w:rsidR="00B17177" w:rsidRPr="00483DC7">
        <w:rPr>
          <w:lang w:val="ro-MD"/>
        </w:rPr>
        <w:t xml:space="preserve"> în manualul de operare al UCIMP DS nu este indicată procedura explicită a activităților de finalizare în cadrul Proiectului de implementare a </w:t>
      </w:r>
      <w:r w:rsidRPr="00483DC7">
        <w:rPr>
          <w:lang w:val="ro-MD"/>
        </w:rPr>
        <w:t>Programelor națion</w:t>
      </w:r>
      <w:r w:rsidR="00234B82" w:rsidRPr="00483DC7">
        <w:rPr>
          <w:lang w:val="ro-MD"/>
        </w:rPr>
        <w:t>a</w:t>
      </w:r>
      <w:r w:rsidRPr="00483DC7">
        <w:rPr>
          <w:lang w:val="ro-MD"/>
        </w:rPr>
        <w:t>le</w:t>
      </w:r>
      <w:r w:rsidR="00234B82" w:rsidRPr="00483DC7">
        <w:rPr>
          <w:rStyle w:val="FootnoteReference"/>
          <w:lang w:val="ro-MD"/>
        </w:rPr>
        <w:footnoteReference w:id="79"/>
      </w:r>
      <w:r w:rsidRPr="00483DC7">
        <w:rPr>
          <w:lang w:val="ro-MD"/>
        </w:rPr>
        <w:t xml:space="preserve"> </w:t>
      </w:r>
      <w:r w:rsidR="00B17177" w:rsidRPr="00483DC7">
        <w:rPr>
          <w:lang w:val="ro-MD"/>
        </w:rPr>
        <w:t xml:space="preserve"> și de predare a responsabilităților către autoritățile locale.</w:t>
      </w:r>
      <w:r w:rsidR="007F75EF" w:rsidRPr="00483DC7">
        <w:rPr>
          <w:lang w:val="ro-MD"/>
        </w:rPr>
        <w:t xml:space="preserve"> </w:t>
      </w:r>
      <w:r w:rsidR="001342F2" w:rsidRPr="00483DC7">
        <w:rPr>
          <w:lang w:val="ro-MD"/>
        </w:rPr>
        <w:t>Conform explicațiilor UCIMP DS, donatorul „Fondul</w:t>
      </w:r>
      <w:r w:rsidR="00B027E3">
        <w:rPr>
          <w:lang w:val="ro-MD"/>
        </w:rPr>
        <w:t>ui</w:t>
      </w:r>
      <w:r w:rsidR="001342F2" w:rsidRPr="00483DC7">
        <w:rPr>
          <w:lang w:val="ro-MD"/>
        </w:rPr>
        <w:t xml:space="preserve"> Global</w:t>
      </w:r>
      <w:r w:rsidR="00234B82" w:rsidRPr="00483DC7">
        <w:rPr>
          <w:lang w:val="ro-MD"/>
        </w:rPr>
        <w:t xml:space="preserve"> pentru combaterea SIDA, tuberculozei și malariei</w:t>
      </w:r>
      <w:r w:rsidR="001342F2" w:rsidRPr="00483DC7">
        <w:rPr>
          <w:lang w:val="ro-MD"/>
        </w:rPr>
        <w:t>” nu solicită existența unui manual operațional pentru granturile oferite, iar manualul UCIMP DS a fost elaborat cu scopul de reglementare instituțională generală a Unității</w:t>
      </w:r>
      <w:r w:rsidR="00B027E3">
        <w:rPr>
          <w:lang w:val="ro-MD"/>
        </w:rPr>
        <w:t>,</w:t>
      </w:r>
      <w:r w:rsidR="001342F2" w:rsidRPr="00483DC7">
        <w:rPr>
          <w:lang w:val="ro-MD"/>
        </w:rPr>
        <w:t xml:space="preserve"> care să acopere atât proiecte în derulare cât și proiecte poten</w:t>
      </w:r>
      <w:r w:rsidR="00530853" w:rsidRPr="00483DC7">
        <w:rPr>
          <w:lang w:val="ro-MD"/>
        </w:rPr>
        <w:t xml:space="preserve">țiale de viitor. </w:t>
      </w:r>
    </w:p>
    <w:p w14:paraId="58407194" w14:textId="7A9D9991" w:rsidR="00B219DC" w:rsidRPr="00483DC7" w:rsidRDefault="000F6F6E" w:rsidP="00B17177">
      <w:pPr>
        <w:pStyle w:val="NormalWeb"/>
        <w:spacing w:before="0" w:beforeAutospacing="0" w:after="0" w:afterAutospacing="0" w:line="276" w:lineRule="auto"/>
        <w:ind w:firstLine="709"/>
        <w:jc w:val="both"/>
        <w:rPr>
          <w:lang w:val="ro-MD"/>
        </w:rPr>
      </w:pPr>
      <w:r w:rsidRPr="00483DC7">
        <w:rPr>
          <w:lang w:val="ro-MD"/>
        </w:rPr>
        <w:t>Aceeași situație se constată</w:t>
      </w:r>
      <w:r w:rsidR="00B17177" w:rsidRPr="00483DC7">
        <w:rPr>
          <w:lang w:val="ro-MD"/>
        </w:rPr>
        <w:t xml:space="preserve"> și</w:t>
      </w:r>
      <w:r w:rsidRPr="00483DC7">
        <w:rPr>
          <w:lang w:val="ro-MD"/>
        </w:rPr>
        <w:t xml:space="preserve"> în cadrul investițiilor</w:t>
      </w:r>
      <w:r w:rsidR="00BC3341" w:rsidRPr="00483DC7">
        <w:rPr>
          <w:lang w:val="ro-MD"/>
        </w:rPr>
        <w:t xml:space="preserve"> </w:t>
      </w:r>
      <w:r w:rsidR="00427F18" w:rsidRPr="00483DC7">
        <w:rPr>
          <w:lang w:val="ro-MD"/>
        </w:rPr>
        <w:t>efectuate în domeniul reformei sănătății în Proiectul gestionat de către OGPAE „Răspuns de urgență la COVID-19 și Suport pentru întreprinderile micro, mici și mijlocii”</w:t>
      </w:r>
      <w:r w:rsidR="000A3BF8" w:rsidRPr="00483DC7">
        <w:rPr>
          <w:lang w:val="ro-MD"/>
        </w:rPr>
        <w:t>.</w:t>
      </w:r>
      <w:r w:rsidR="00427F18" w:rsidRPr="00483DC7">
        <w:rPr>
          <w:lang w:val="ro-MD"/>
        </w:rPr>
        <w:t xml:space="preserve"> </w:t>
      </w:r>
      <w:r w:rsidRPr="00483DC7">
        <w:rPr>
          <w:lang w:val="ro-MD"/>
        </w:rPr>
        <w:t xml:space="preserve">Astfel, deși </w:t>
      </w:r>
      <w:r w:rsidR="00427F18" w:rsidRPr="00483DC7">
        <w:rPr>
          <w:lang w:val="ro-MD"/>
        </w:rPr>
        <w:t>prin activitățile prompte</w:t>
      </w:r>
      <w:r w:rsidRPr="00483DC7">
        <w:rPr>
          <w:lang w:val="ro-MD"/>
        </w:rPr>
        <w:t>,</w:t>
      </w:r>
      <w:r w:rsidR="00427F18" w:rsidRPr="00483DC7">
        <w:rPr>
          <w:lang w:val="ro-MD"/>
        </w:rPr>
        <w:t xml:space="preserve"> desfășurate în perioada 2022-2023</w:t>
      </w:r>
      <w:r w:rsidRPr="00483DC7">
        <w:rPr>
          <w:lang w:val="ro-MD"/>
        </w:rPr>
        <w:t>,</w:t>
      </w:r>
      <w:r w:rsidR="00427F18" w:rsidRPr="00483DC7">
        <w:rPr>
          <w:lang w:val="ro-MD"/>
        </w:rPr>
        <w:t xml:space="preserve"> s-a contribuit notabil la dotarea și modernizarea spitalelor și a altor unități sanitare, procedurile nu conțin prevederi despre transferul de responsabilitate a monitorizării rezultatele obținute. </w:t>
      </w:r>
    </w:p>
    <w:p w14:paraId="632906DA" w14:textId="1E6317FD" w:rsidR="00B219DC" w:rsidRPr="00483DC7" w:rsidRDefault="00B219DC" w:rsidP="000F6F6E">
      <w:pPr>
        <w:pStyle w:val="NormalWeb"/>
        <w:spacing w:before="0" w:beforeAutospacing="0" w:after="0" w:afterAutospacing="0" w:line="276" w:lineRule="auto"/>
        <w:ind w:firstLine="709"/>
        <w:jc w:val="both"/>
        <w:rPr>
          <w:lang w:val="ro-MD"/>
        </w:rPr>
      </w:pPr>
      <w:r w:rsidRPr="00483DC7">
        <w:rPr>
          <w:lang w:val="ro-MD"/>
        </w:rPr>
        <w:t>Respectiv,</w:t>
      </w:r>
      <w:r w:rsidR="004B46AC" w:rsidRPr="00483DC7">
        <w:rPr>
          <w:lang w:val="ro-MD"/>
        </w:rPr>
        <w:t xml:space="preserve"> la nivel de țară,</w:t>
      </w:r>
      <w:r w:rsidRPr="00483DC7">
        <w:rPr>
          <w:lang w:val="ro-MD"/>
        </w:rPr>
        <w:t xml:space="preserve"> nici </w:t>
      </w:r>
      <w:r w:rsidR="00427F18" w:rsidRPr="00483DC7">
        <w:rPr>
          <w:lang w:val="ro-MD"/>
        </w:rPr>
        <w:t>OGPAE și nici Ministerul Sănătății</w:t>
      </w:r>
      <w:r w:rsidRPr="00483DC7">
        <w:rPr>
          <w:lang w:val="ro-MD"/>
        </w:rPr>
        <w:t xml:space="preserve">, precum și nici </w:t>
      </w:r>
      <w:r w:rsidR="00317732">
        <w:rPr>
          <w:lang w:val="ro-MD"/>
        </w:rPr>
        <w:t>C</w:t>
      </w:r>
      <w:r w:rsidRPr="00483DC7">
        <w:rPr>
          <w:lang w:val="ro-MD"/>
        </w:rPr>
        <w:t xml:space="preserve">oordonatorul </w:t>
      </w:r>
      <w:r w:rsidR="00317732">
        <w:rPr>
          <w:lang w:val="ro-MD"/>
        </w:rPr>
        <w:t>N</w:t>
      </w:r>
      <w:r w:rsidRPr="00483DC7">
        <w:rPr>
          <w:lang w:val="ro-MD"/>
        </w:rPr>
        <w:t>ațional</w:t>
      </w:r>
      <w:r w:rsidR="00427F18" w:rsidRPr="00483DC7">
        <w:rPr>
          <w:lang w:val="ro-MD"/>
        </w:rPr>
        <w:t xml:space="preserve"> nu </w:t>
      </w:r>
      <w:r w:rsidRPr="00483DC7">
        <w:rPr>
          <w:lang w:val="ro-MD"/>
        </w:rPr>
        <w:t xml:space="preserve">au </w:t>
      </w:r>
      <w:r w:rsidR="00B027E3">
        <w:rPr>
          <w:lang w:val="ro-MD"/>
        </w:rPr>
        <w:t>stabilit</w:t>
      </w:r>
      <w:r w:rsidR="00427F18" w:rsidRPr="00483DC7">
        <w:rPr>
          <w:lang w:val="ro-MD"/>
        </w:rPr>
        <w:t xml:space="preserve"> obiective de monitorizare a </w:t>
      </w:r>
      <w:r w:rsidRPr="00483DC7">
        <w:rPr>
          <w:lang w:val="ro-MD"/>
        </w:rPr>
        <w:t>eficacității investiției sub formă de</w:t>
      </w:r>
      <w:r w:rsidR="00427F18" w:rsidRPr="00483DC7">
        <w:rPr>
          <w:lang w:val="ro-MD"/>
        </w:rPr>
        <w:t xml:space="preserve"> echipamente livrate, persistând astfel riscul ca acestea să rămână depozitate sau instalate și neutilizate. </w:t>
      </w:r>
    </w:p>
    <w:p w14:paraId="2A022976" w14:textId="1BD53FC5" w:rsidR="00B219DC" w:rsidRPr="00483DC7" w:rsidRDefault="00B219DC" w:rsidP="000F6F6E">
      <w:pPr>
        <w:pStyle w:val="NormalWeb"/>
        <w:spacing w:before="0" w:beforeAutospacing="0" w:after="0" w:afterAutospacing="0" w:line="276" w:lineRule="auto"/>
        <w:ind w:firstLine="709"/>
        <w:jc w:val="both"/>
        <w:rPr>
          <w:lang w:val="ro-MD"/>
        </w:rPr>
      </w:pPr>
      <w:r w:rsidRPr="00483DC7">
        <w:rPr>
          <w:lang w:val="ro-MD"/>
        </w:rPr>
        <w:t>Potrivit explicațiilor OGPAE</w:t>
      </w:r>
      <w:r w:rsidR="00B027E3">
        <w:rPr>
          <w:lang w:val="ro-MD"/>
        </w:rPr>
        <w:t>,</w:t>
      </w:r>
      <w:r w:rsidR="00E71239" w:rsidRPr="00483DC7">
        <w:rPr>
          <w:lang w:val="ro-MD"/>
        </w:rPr>
        <w:t xml:space="preserve"> </w:t>
      </w:r>
      <w:r w:rsidR="00B027E3" w:rsidRPr="00483DC7">
        <w:rPr>
          <w:lang w:val="ro-MD"/>
        </w:rPr>
        <w:t>„</w:t>
      </w:r>
      <w:r w:rsidR="00B027E3">
        <w:rPr>
          <w:lang w:val="ro-MD"/>
        </w:rPr>
        <w:t xml:space="preserve">... </w:t>
      </w:r>
      <w:r w:rsidR="00E71239" w:rsidRPr="00483DC7">
        <w:rPr>
          <w:lang w:val="ro-MD"/>
        </w:rPr>
        <w:t>odată recepționate de Ministerul Sănătății și de spitalele beneficiare, echipamentele livrate fac parte a activelor lor, luate în folosință, la evidență contabilă și deservire conform destinației. Proiectul dat și sarcinile OGAPE au fost închise</w:t>
      </w:r>
      <w:r w:rsidR="00B027E3">
        <w:rPr>
          <w:lang w:val="ro-MD"/>
        </w:rPr>
        <w:t xml:space="preserve"> </w:t>
      </w:r>
      <w:r w:rsidR="00E71239" w:rsidRPr="00483DC7">
        <w:rPr>
          <w:lang w:val="ro-MD"/>
        </w:rPr>
        <w:t>...</w:t>
      </w:r>
      <w:r w:rsidRPr="00483DC7">
        <w:rPr>
          <w:lang w:val="ro-MD"/>
        </w:rPr>
        <w:t>”</w:t>
      </w:r>
      <w:r w:rsidR="000A3BF8" w:rsidRPr="00483DC7">
        <w:rPr>
          <w:lang w:val="ro-MD"/>
        </w:rPr>
        <w:t>.</w:t>
      </w:r>
    </w:p>
    <w:p w14:paraId="53F9F5FC" w14:textId="2CEB8A65" w:rsidR="00427F18" w:rsidRPr="00483DC7" w:rsidRDefault="00427F18" w:rsidP="000F6F6E">
      <w:pPr>
        <w:pStyle w:val="NormalWeb"/>
        <w:spacing w:before="0" w:beforeAutospacing="0" w:after="0" w:afterAutospacing="0" w:line="276" w:lineRule="auto"/>
        <w:ind w:firstLine="709"/>
        <w:jc w:val="both"/>
        <w:rPr>
          <w:lang w:val="ro-MD"/>
        </w:rPr>
      </w:pPr>
      <w:r w:rsidRPr="00483DC7">
        <w:rPr>
          <w:lang w:val="ro-MD"/>
        </w:rPr>
        <w:lastRenderedPageBreak/>
        <w:t>Această situație poate fi agravată, în special, în cazul în care multe dintre echipamente nu beneficiază de finanțare guvernamentală pe termen lung pentru întreținere și reparații. Fără resurse adiționale și fără implicarea activă a autorităților centrale, precum și fără o monitorizare consecventă a modului de valorificare a rezultatelor proiectelor, realizările obținute pot fi afectate pe termen lung.</w:t>
      </w:r>
    </w:p>
    <w:p w14:paraId="6C69E694" w14:textId="7DBED54E" w:rsidR="00317732" w:rsidRDefault="00427F18" w:rsidP="00427F18">
      <w:pPr>
        <w:pStyle w:val="NormalWeb"/>
        <w:spacing w:before="0" w:beforeAutospacing="0" w:after="0" w:afterAutospacing="0" w:line="276" w:lineRule="auto"/>
        <w:ind w:firstLine="709"/>
        <w:jc w:val="both"/>
        <w:rPr>
          <w:lang w:val="ro-MD"/>
        </w:rPr>
      </w:pPr>
      <w:r w:rsidRPr="00483DC7">
        <w:rPr>
          <w:lang w:val="ro-MD"/>
        </w:rPr>
        <w:t>Monitorizarea</w:t>
      </w:r>
      <w:r w:rsidR="00B027E3">
        <w:rPr>
          <w:lang w:val="ro-MD"/>
        </w:rPr>
        <w:t xml:space="preserve"> post-</w:t>
      </w:r>
      <w:r w:rsidR="00317732">
        <w:rPr>
          <w:lang w:val="ro-MD"/>
        </w:rPr>
        <w:t xml:space="preserve">implementare </w:t>
      </w:r>
      <w:r w:rsidR="00B027E3">
        <w:rPr>
          <w:lang w:val="ro-MD"/>
        </w:rPr>
        <w:t xml:space="preserve">a </w:t>
      </w:r>
      <w:r w:rsidR="00317732">
        <w:rPr>
          <w:lang w:val="ro-MD"/>
        </w:rPr>
        <w:t>livrabilelor obținute</w:t>
      </w:r>
      <w:r w:rsidR="00B027E3">
        <w:rPr>
          <w:lang w:val="ro-MD"/>
        </w:rPr>
        <w:t xml:space="preserve"> ca în rezultat a</w:t>
      </w:r>
      <w:r w:rsidR="00317732">
        <w:rPr>
          <w:lang w:val="ro-MD"/>
        </w:rPr>
        <w:t>l implementării proiectului</w:t>
      </w:r>
      <w:r w:rsidRPr="00483DC7">
        <w:rPr>
          <w:lang w:val="ro-MD"/>
        </w:rPr>
        <w:t xml:space="preserve"> este deficitară și în cazul locuințelor sociale</w:t>
      </w:r>
      <w:r w:rsidRPr="00483DC7">
        <w:rPr>
          <w:rStyle w:val="FootnoteReference"/>
          <w:lang w:val="ro-MD"/>
        </w:rPr>
        <w:footnoteReference w:id="80"/>
      </w:r>
      <w:r w:rsidRPr="00483DC7">
        <w:rPr>
          <w:lang w:val="ro-MD"/>
        </w:rPr>
        <w:t xml:space="preserve">, unde absența unui mecanism adecvat de monitorizare afectează eficiența și sustenabilitatea proiectelor. </w:t>
      </w:r>
    </w:p>
    <w:p w14:paraId="375E96D2" w14:textId="67DDDDBB" w:rsidR="00427F18" w:rsidRPr="00483DC7" w:rsidRDefault="00427F18" w:rsidP="00427F18">
      <w:pPr>
        <w:pStyle w:val="NormalWeb"/>
        <w:spacing w:before="0" w:beforeAutospacing="0" w:after="0" w:afterAutospacing="0" w:line="276" w:lineRule="auto"/>
        <w:ind w:firstLine="709"/>
        <w:jc w:val="both"/>
        <w:rPr>
          <w:lang w:val="ro-MD"/>
        </w:rPr>
      </w:pPr>
      <w:r w:rsidRPr="00483DC7">
        <w:rPr>
          <w:lang w:val="ro-MD"/>
        </w:rPr>
        <w:t xml:space="preserve">Procedura aprobată prin Ordinul Ministrului </w:t>
      </w:r>
      <w:r w:rsidR="006824D8">
        <w:rPr>
          <w:lang w:val="ro-MD"/>
        </w:rPr>
        <w:t>D</w:t>
      </w:r>
      <w:r w:rsidRPr="00483DC7">
        <w:rPr>
          <w:lang w:val="ro-MD"/>
        </w:rPr>
        <w:t xml:space="preserve">ezvoltării </w:t>
      </w:r>
      <w:r w:rsidR="006824D8">
        <w:rPr>
          <w:lang w:val="ro-MD"/>
        </w:rPr>
        <w:t>R</w:t>
      </w:r>
      <w:r w:rsidRPr="00483DC7">
        <w:rPr>
          <w:lang w:val="ro-MD"/>
        </w:rPr>
        <w:t xml:space="preserve">egionale și </w:t>
      </w:r>
      <w:r w:rsidR="006824D8">
        <w:rPr>
          <w:lang w:val="ro-MD"/>
        </w:rPr>
        <w:t>C</w:t>
      </w:r>
      <w:r w:rsidRPr="00483DC7">
        <w:rPr>
          <w:lang w:val="ro-MD"/>
        </w:rPr>
        <w:t>onstrucțiilor</w:t>
      </w:r>
      <w:r w:rsidRPr="00483DC7">
        <w:rPr>
          <w:rStyle w:val="FootnoteReference"/>
          <w:lang w:val="ro-MD"/>
        </w:rPr>
        <w:footnoteReference w:id="81"/>
      </w:r>
      <w:r w:rsidRPr="00483DC7">
        <w:rPr>
          <w:lang w:val="ro-MD"/>
        </w:rPr>
        <w:t xml:space="preserve"> nu conține nicio reglementare în acest sens. Colectarea sistematică a informațiilor referitoare la utilizarea și starea blocurilor reabilitate sau construite este esențială pentru evaluarea impactului social și economic. În lipsa acesteia, riscul ca locuințele oferite să nu ajungă la persoanele care corespund criteriilor stabilite crește, perpetuând astfel problemele legate de asigurare </w:t>
      </w:r>
      <w:r w:rsidR="00560FDD">
        <w:rPr>
          <w:lang w:val="ro-MD"/>
        </w:rPr>
        <w:t>cu</w:t>
      </w:r>
      <w:r w:rsidRPr="00483DC7">
        <w:rPr>
          <w:lang w:val="ro-MD"/>
        </w:rPr>
        <w:t xml:space="preserve"> locuințe adecvate </w:t>
      </w:r>
      <w:r w:rsidR="00560FDD">
        <w:rPr>
          <w:lang w:val="ro-MD"/>
        </w:rPr>
        <w:t>a</w:t>
      </w:r>
      <w:r w:rsidRPr="00483DC7">
        <w:rPr>
          <w:lang w:val="ro-MD"/>
        </w:rPr>
        <w:t xml:space="preserve"> categoriil</w:t>
      </w:r>
      <w:r w:rsidR="00560FDD">
        <w:rPr>
          <w:lang w:val="ro-MD"/>
        </w:rPr>
        <w:t>or social</w:t>
      </w:r>
      <w:r w:rsidRPr="00483DC7">
        <w:rPr>
          <w:lang w:val="ro-MD"/>
        </w:rPr>
        <w:t xml:space="preserve"> vulnerabile.</w:t>
      </w:r>
    </w:p>
    <w:p w14:paraId="67A273CB" w14:textId="7C7D4929" w:rsidR="00533A0A" w:rsidRDefault="00427F18" w:rsidP="008A1B1C">
      <w:pPr>
        <w:pStyle w:val="NormalWeb"/>
        <w:spacing w:before="0" w:beforeAutospacing="0" w:after="0" w:afterAutospacing="0" w:line="276" w:lineRule="auto"/>
        <w:ind w:firstLine="709"/>
        <w:jc w:val="both"/>
        <w:rPr>
          <w:lang w:val="ro-MD"/>
        </w:rPr>
      </w:pPr>
      <w:r w:rsidRPr="00483DC7">
        <w:rPr>
          <w:lang w:val="ro-MD"/>
        </w:rPr>
        <w:t>În absența unui sistem centralizat de monitorizare și evaluare, coordonarea inițiativelor devine problematică, generând discrepanțe în alocarea locuințelor și amplificând tensiunile sociale în comunități.</w:t>
      </w:r>
      <w:r w:rsidR="008A1B1C">
        <w:rPr>
          <w:lang w:val="ro-MD"/>
        </w:rPr>
        <w:t xml:space="preserve"> </w:t>
      </w:r>
      <w:r w:rsidRPr="00483DC7">
        <w:rPr>
          <w:lang w:val="ro-MD"/>
        </w:rPr>
        <w:t xml:space="preserve">Pe termen lung, aceste deficiențe pot reduce sustenabilitatea proiectelor, iar lipsa feedback-ului constant poate conduce la deteriorarea acestora. </w:t>
      </w:r>
      <w:r w:rsidR="005B038C">
        <w:rPr>
          <w:lang w:val="ro-MD"/>
        </w:rPr>
        <w:t>Această</w:t>
      </w:r>
      <w:r w:rsidRPr="00483DC7">
        <w:rPr>
          <w:lang w:val="ro-MD"/>
        </w:rPr>
        <w:t xml:space="preserve"> </w:t>
      </w:r>
      <w:r w:rsidR="008A1B1C">
        <w:rPr>
          <w:lang w:val="ro-MD"/>
        </w:rPr>
        <w:t>situație poate fi percepută</w:t>
      </w:r>
      <w:r w:rsidRPr="00483DC7">
        <w:rPr>
          <w:lang w:val="ro-MD"/>
        </w:rPr>
        <w:t xml:space="preserve"> ca o gestiune slabă a resurselor, afectând astfel încrederea în capacitatea Unității de Implementare de a gestiona fondurile eficient, cu implicații directe asupra atragerii de fonduri viitoare.</w:t>
      </w:r>
      <w:r w:rsidR="00533A0A" w:rsidRPr="00533A0A">
        <w:rPr>
          <w:lang w:val="ro-MD"/>
        </w:rPr>
        <w:t xml:space="preserve"> </w:t>
      </w:r>
      <w:r w:rsidR="00533A0A" w:rsidRPr="00483DC7">
        <w:rPr>
          <w:lang w:val="ro-MD"/>
        </w:rPr>
        <w:t xml:space="preserve">De asemenea, </w:t>
      </w:r>
      <w:r w:rsidR="008A1B1C">
        <w:rPr>
          <w:lang w:val="ro-MD"/>
        </w:rPr>
        <w:t>asigurarea</w:t>
      </w:r>
      <w:r w:rsidR="00533A0A" w:rsidRPr="00483DC7">
        <w:rPr>
          <w:lang w:val="ro-MD"/>
        </w:rPr>
        <w:t xml:space="preserve"> sinergiei între proiectele de dezvoltare </w:t>
      </w:r>
      <w:r w:rsidR="008A1B1C">
        <w:rPr>
          <w:lang w:val="ro-MD"/>
        </w:rPr>
        <w:t xml:space="preserve">ar </w:t>
      </w:r>
      <w:r w:rsidR="00533A0A" w:rsidRPr="00483DC7">
        <w:rPr>
          <w:lang w:val="ro-MD"/>
        </w:rPr>
        <w:t xml:space="preserve">conduce la </w:t>
      </w:r>
      <w:r w:rsidR="008A1B1C">
        <w:rPr>
          <w:lang w:val="ro-MD"/>
        </w:rPr>
        <w:t>focusarea</w:t>
      </w:r>
      <w:r w:rsidR="00533A0A" w:rsidRPr="00483DC7">
        <w:rPr>
          <w:lang w:val="ro-MD"/>
        </w:rPr>
        <w:t xml:space="preserve"> resurselor</w:t>
      </w:r>
      <w:r w:rsidR="008A1B1C">
        <w:rPr>
          <w:lang w:val="ro-MD"/>
        </w:rPr>
        <w:t xml:space="preserve"> și va contribui la sporirea eficienței</w:t>
      </w:r>
      <w:r w:rsidR="00533A0A" w:rsidRPr="00483DC7">
        <w:rPr>
          <w:lang w:val="ro-MD"/>
        </w:rPr>
        <w:t xml:space="preserve"> intervențiilor.</w:t>
      </w:r>
    </w:p>
    <w:p w14:paraId="38C87925" w14:textId="357A41D5" w:rsidR="008F381B" w:rsidRPr="00483DC7" w:rsidRDefault="005B038C" w:rsidP="005D5E5B">
      <w:pPr>
        <w:spacing w:after="0"/>
        <w:ind w:firstLine="709"/>
        <w:jc w:val="both"/>
        <w:rPr>
          <w:rFonts w:ascii="Times New Roman" w:hAnsi="Times New Roman" w:cs="Times New Roman"/>
          <w:sz w:val="24"/>
          <w:szCs w:val="24"/>
          <w:lang w:val="ro-MD"/>
        </w:rPr>
      </w:pPr>
      <w:r>
        <w:rPr>
          <w:rFonts w:ascii="Times New Roman" w:hAnsi="Times New Roman" w:cs="Times New Roman"/>
          <w:sz w:val="24"/>
          <w:szCs w:val="24"/>
          <w:lang w:val="ro-MD"/>
        </w:rPr>
        <w:t>Neasigurarea</w:t>
      </w:r>
      <w:r w:rsidR="00427F18" w:rsidRPr="00483DC7">
        <w:rPr>
          <w:rFonts w:ascii="Times New Roman" w:hAnsi="Times New Roman" w:cs="Times New Roman"/>
          <w:sz w:val="24"/>
          <w:szCs w:val="24"/>
          <w:lang w:val="ro-MD"/>
        </w:rPr>
        <w:t xml:space="preserve"> unei tranziții bine planificate între UIP-uri și autoritățile administrației publice poate duce la degradarea infrastructurii construite, pierderea cunoștințelor acumulate în timpul implementării</w:t>
      </w:r>
      <w:r w:rsidR="008F381B" w:rsidRPr="00483DC7">
        <w:rPr>
          <w:rFonts w:ascii="Times New Roman" w:hAnsi="Times New Roman" w:cs="Times New Roman"/>
          <w:sz w:val="24"/>
          <w:szCs w:val="24"/>
          <w:lang w:val="ro-MD"/>
        </w:rPr>
        <w:t>, compromiterea investițiilor efectuate în termen lung, precum</w:t>
      </w:r>
      <w:r w:rsidR="00427F18" w:rsidRPr="00483DC7">
        <w:rPr>
          <w:rFonts w:ascii="Times New Roman" w:hAnsi="Times New Roman" w:cs="Times New Roman"/>
          <w:sz w:val="24"/>
          <w:szCs w:val="24"/>
          <w:lang w:val="ro-MD"/>
        </w:rPr>
        <w:t xml:space="preserve"> și neatingerea obiectivelor naționale. </w:t>
      </w:r>
    </w:p>
    <w:p w14:paraId="696F1FBF" w14:textId="0EC507A7" w:rsidR="008F381B" w:rsidRPr="00483DC7" w:rsidRDefault="00427F18" w:rsidP="005D5E5B">
      <w:pPr>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Deși </w:t>
      </w:r>
      <w:r w:rsidR="008F381B" w:rsidRPr="00483DC7">
        <w:rPr>
          <w:rFonts w:ascii="Times New Roman" w:hAnsi="Times New Roman" w:cs="Times New Roman"/>
          <w:sz w:val="24"/>
          <w:szCs w:val="24"/>
          <w:lang w:val="ro-MD"/>
        </w:rPr>
        <w:t>UIPFAE</w:t>
      </w:r>
      <w:r w:rsidRPr="00483DC7">
        <w:rPr>
          <w:rFonts w:ascii="Times New Roman" w:hAnsi="Times New Roman" w:cs="Times New Roman"/>
          <w:sz w:val="24"/>
          <w:szCs w:val="24"/>
          <w:lang w:val="ro-MD"/>
        </w:rPr>
        <w:t xml:space="preserve"> sunt adesea eficiente în gestionarea proiectelor pe termen scurt</w:t>
      </w:r>
      <w:r w:rsidR="008F381B" w:rsidRPr="00483DC7">
        <w:rPr>
          <w:rFonts w:ascii="Times New Roman" w:hAnsi="Times New Roman" w:cs="Times New Roman"/>
          <w:sz w:val="24"/>
          <w:szCs w:val="24"/>
          <w:lang w:val="ro-MD"/>
        </w:rPr>
        <w:t xml:space="preserve"> și/sau pe parcursul derulării proiectelor investiționale</w:t>
      </w:r>
      <w:r w:rsidRPr="00483DC7">
        <w:rPr>
          <w:rFonts w:ascii="Times New Roman" w:hAnsi="Times New Roman" w:cs="Times New Roman"/>
          <w:sz w:val="24"/>
          <w:szCs w:val="24"/>
          <w:lang w:val="ro-MD"/>
        </w:rPr>
        <w:t>, acest model nu este sustenabil</w:t>
      </w:r>
      <w:r w:rsidR="008F381B" w:rsidRPr="00483DC7">
        <w:rPr>
          <w:rFonts w:ascii="Times New Roman" w:hAnsi="Times New Roman" w:cs="Times New Roman"/>
          <w:sz w:val="24"/>
          <w:szCs w:val="24"/>
          <w:lang w:val="ro-MD"/>
        </w:rPr>
        <w:t xml:space="preserve"> pe termen lung, din cauza lipsei unei strategii clare de integrare a investițiilor și/sau rezultatelor obținute în politicile pe termen mediu și lung a autorităților publice atât centrale cât și locale.  </w:t>
      </w:r>
    </w:p>
    <w:p w14:paraId="44DB04DC" w14:textId="7DE32257" w:rsidR="00427F18" w:rsidRPr="00483DC7" w:rsidRDefault="00427F18" w:rsidP="005D5E5B">
      <w:pPr>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 Eficiența pe termen scurt</w:t>
      </w:r>
      <w:r w:rsidR="005B038C">
        <w:rPr>
          <w:rFonts w:ascii="Times New Roman" w:hAnsi="Times New Roman" w:cs="Times New Roman"/>
          <w:sz w:val="24"/>
          <w:szCs w:val="24"/>
          <w:lang w:val="ro-MD"/>
        </w:rPr>
        <w:t xml:space="preserve"> a gestionării proiectelor</w:t>
      </w:r>
      <w:r w:rsidRPr="00483DC7">
        <w:rPr>
          <w:rFonts w:ascii="Times New Roman" w:hAnsi="Times New Roman" w:cs="Times New Roman"/>
          <w:sz w:val="24"/>
          <w:szCs w:val="24"/>
          <w:lang w:val="ro-MD"/>
        </w:rPr>
        <w:t xml:space="preserve"> trebuie evaluată în contextul dezvoltării capacităților instituționale pe termen lung</w:t>
      </w:r>
      <w:r w:rsidR="005B038C">
        <w:rPr>
          <w:rFonts w:ascii="Times New Roman" w:hAnsi="Times New Roman" w:cs="Times New Roman"/>
          <w:sz w:val="24"/>
          <w:szCs w:val="24"/>
          <w:lang w:val="ro-MD"/>
        </w:rPr>
        <w:t xml:space="preserve"> a UIPFAE</w:t>
      </w:r>
      <w:r w:rsidRPr="00483DC7">
        <w:rPr>
          <w:rFonts w:ascii="Times New Roman" w:hAnsi="Times New Roman" w:cs="Times New Roman"/>
          <w:sz w:val="24"/>
          <w:szCs w:val="24"/>
          <w:lang w:val="ro-MD"/>
        </w:rPr>
        <w:t>.</w:t>
      </w:r>
      <w:r w:rsidR="00533A0A">
        <w:rPr>
          <w:rFonts w:ascii="Times New Roman" w:hAnsi="Times New Roman" w:cs="Times New Roman"/>
          <w:sz w:val="24"/>
          <w:szCs w:val="24"/>
          <w:lang w:val="ro-MD"/>
        </w:rPr>
        <w:t xml:space="preserve"> A</w:t>
      </w:r>
      <w:r w:rsidRPr="00483DC7">
        <w:rPr>
          <w:rFonts w:ascii="Times New Roman" w:hAnsi="Times New Roman" w:cs="Times New Roman"/>
          <w:sz w:val="24"/>
          <w:szCs w:val="24"/>
          <w:lang w:val="ro-MD"/>
        </w:rPr>
        <w:t>cest fapt este îngreunat de lipsa unor mecanisme de monitorizare</w:t>
      </w:r>
      <w:r w:rsidR="008F381B" w:rsidRPr="00483DC7">
        <w:rPr>
          <w:rFonts w:ascii="Times New Roman" w:hAnsi="Times New Roman" w:cs="Times New Roman"/>
          <w:sz w:val="24"/>
          <w:szCs w:val="24"/>
          <w:lang w:val="ro-MD"/>
        </w:rPr>
        <w:t xml:space="preserve"> a investițiilor și rezultatelor obținute în urma implementării proiectelor finanțate din surse externe,</w:t>
      </w:r>
      <w:r w:rsidRPr="00483DC7">
        <w:rPr>
          <w:rFonts w:ascii="Times New Roman" w:hAnsi="Times New Roman" w:cs="Times New Roman"/>
          <w:sz w:val="24"/>
          <w:szCs w:val="24"/>
          <w:lang w:val="ro-MD"/>
        </w:rPr>
        <w:t xml:space="preserve"> atât </w:t>
      </w:r>
      <w:r w:rsidR="008F381B" w:rsidRPr="00483DC7">
        <w:rPr>
          <w:rFonts w:ascii="Times New Roman" w:hAnsi="Times New Roman" w:cs="Times New Roman"/>
          <w:sz w:val="24"/>
          <w:szCs w:val="24"/>
          <w:lang w:val="ro-MD"/>
        </w:rPr>
        <w:t>de către</w:t>
      </w:r>
      <w:r w:rsidRPr="00483DC7">
        <w:rPr>
          <w:rFonts w:ascii="Times New Roman" w:hAnsi="Times New Roman" w:cs="Times New Roman"/>
          <w:sz w:val="24"/>
          <w:szCs w:val="24"/>
          <w:lang w:val="ro-MD"/>
        </w:rPr>
        <w:t xml:space="preserve"> UIPFAE, </w:t>
      </w:r>
      <w:r w:rsidR="005B038C">
        <w:rPr>
          <w:rFonts w:ascii="Times New Roman" w:hAnsi="Times New Roman" w:cs="Times New Roman"/>
          <w:sz w:val="24"/>
          <w:szCs w:val="24"/>
          <w:lang w:val="ro-MD"/>
        </w:rPr>
        <w:t>de către instituțiile</w:t>
      </w:r>
      <w:r w:rsidRPr="00483DC7">
        <w:rPr>
          <w:rFonts w:ascii="Times New Roman" w:hAnsi="Times New Roman" w:cs="Times New Roman"/>
          <w:sz w:val="24"/>
          <w:szCs w:val="24"/>
          <w:lang w:val="ro-MD"/>
        </w:rPr>
        <w:t xml:space="preserve"> fondatoare</w:t>
      </w:r>
      <w:r w:rsidR="008F381B" w:rsidRPr="00483DC7">
        <w:rPr>
          <w:rFonts w:ascii="Times New Roman" w:hAnsi="Times New Roman" w:cs="Times New Roman"/>
          <w:sz w:val="24"/>
          <w:szCs w:val="24"/>
          <w:lang w:val="ro-MD"/>
        </w:rPr>
        <w:t>, cât și de către Coordonatorul Național</w:t>
      </w:r>
      <w:r w:rsidRPr="00483DC7">
        <w:rPr>
          <w:rFonts w:ascii="Times New Roman" w:hAnsi="Times New Roman" w:cs="Times New Roman"/>
          <w:sz w:val="24"/>
          <w:szCs w:val="24"/>
          <w:lang w:val="ro-MD"/>
        </w:rPr>
        <w:t>.</w:t>
      </w:r>
    </w:p>
    <w:p w14:paraId="1169AC5F" w14:textId="1008DCF0"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Analiza eficienței proiectelor gestionate de UIPFAE, raportată la rezultatele obținute, indică o imagine complexă și neuniformă a performanțelor acestora. Proiectele analizate au fost demarate atât înainte de 2022, cât și începând cu 2023, însă indicatorii de rezultat înregistrați sunt relativi și nu oferă o imagine completă a nivelului de realizare. Aceasta se datorează faptului că majoritatea proiectelor nu au avut stabilite obiective concrete și măsurabile, față de care</w:t>
      </w:r>
      <w:r w:rsidR="00560FDD">
        <w:rPr>
          <w:lang w:val="ro-MD"/>
        </w:rPr>
        <w:t xml:space="preserve"> rezultatele</w:t>
      </w:r>
      <w:r w:rsidRPr="00483DC7">
        <w:rPr>
          <w:lang w:val="ro-MD"/>
        </w:rPr>
        <w:t xml:space="preserve"> să poată fi evaluate în mod progresiv. Deficiențele înregistrate determină dificultăți în evaluarea impactului, </w:t>
      </w:r>
      <w:r w:rsidR="008F381B" w:rsidRPr="00483DC7">
        <w:rPr>
          <w:lang w:val="ro-MD"/>
        </w:rPr>
        <w:t xml:space="preserve">potențiala </w:t>
      </w:r>
      <w:r w:rsidRPr="00483DC7">
        <w:rPr>
          <w:lang w:val="ro-MD"/>
        </w:rPr>
        <w:t xml:space="preserve">risipă de resurse, precum și probleme de raportare. </w:t>
      </w:r>
    </w:p>
    <w:p w14:paraId="4B3DB77D" w14:textId="70932513" w:rsidR="00B759F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 xml:space="preserve">În aceste condiții se stabilește că modul de gestionare al proiectelor de către fiecare UIPFAE este foarte diferit și variabil. Această diversitate managerială este determinată în mare parte de tipul proiectelor implementate: proiecte în infrastructură, proiecte în susținerea agricultorilor sau </w:t>
      </w:r>
      <w:r w:rsidR="00560FDD">
        <w:rPr>
          <w:lang w:val="ro-MD"/>
        </w:rPr>
        <w:t>proiecte</w:t>
      </w:r>
      <w:r w:rsidRPr="00483DC7">
        <w:rPr>
          <w:lang w:val="ro-MD"/>
        </w:rPr>
        <w:t xml:space="preserve"> în domeniul cercetărilor de mediu, de finanțator, tipul de finanțare (grant </w:t>
      </w:r>
      <w:r w:rsidRPr="00483DC7">
        <w:rPr>
          <w:lang w:val="ro-MD"/>
        </w:rPr>
        <w:lastRenderedPageBreak/>
        <w:t>sau împrumut), dar și</w:t>
      </w:r>
      <w:r w:rsidR="00560FDD">
        <w:rPr>
          <w:lang w:val="ro-MD"/>
        </w:rPr>
        <w:t xml:space="preserve"> de</w:t>
      </w:r>
      <w:r w:rsidRPr="00483DC7">
        <w:rPr>
          <w:lang w:val="ro-MD"/>
        </w:rPr>
        <w:t xml:space="preserve"> numărul de oameni implicați în gestionarea lor. Prin urmare</w:t>
      </w:r>
      <w:r w:rsidR="000540DB">
        <w:rPr>
          <w:lang w:val="ro-MD"/>
        </w:rPr>
        <w:t>,</w:t>
      </w:r>
      <w:r w:rsidRPr="00483DC7">
        <w:rPr>
          <w:lang w:val="ro-MD"/>
        </w:rPr>
        <w:t xml:space="preserve"> acestea influențează considerabil nivelul de atingere a rezultatelor, deoarece fiecare unitate aplică metode diferite de implementare, monitorizare și evaluare. Detaliat rezultatele obținute de către UIPFAE în cadrul proiectelor implementate sunt prezentate în </w:t>
      </w:r>
      <w:r w:rsidRPr="00483DC7">
        <w:rPr>
          <w:b/>
          <w:lang w:val="ro-MD"/>
        </w:rPr>
        <w:t xml:space="preserve">Anexa nr. 5 la </w:t>
      </w:r>
      <w:r w:rsidR="006824D8">
        <w:rPr>
          <w:b/>
          <w:lang w:val="ro-MD"/>
        </w:rPr>
        <w:t>Raportul de audit</w:t>
      </w:r>
      <w:r w:rsidRPr="00483DC7">
        <w:rPr>
          <w:b/>
          <w:lang w:val="ro-MD"/>
        </w:rPr>
        <w:t>.</w:t>
      </w:r>
      <w:r w:rsidRPr="00483DC7">
        <w:rPr>
          <w:lang w:val="ro-MD"/>
        </w:rPr>
        <w:t xml:space="preserve"> </w:t>
      </w:r>
    </w:p>
    <w:p w14:paraId="7B4645FA" w14:textId="2403D6C5" w:rsidR="008F381B" w:rsidRPr="00483DC7" w:rsidRDefault="00B759FB" w:rsidP="005D5E5B">
      <w:pPr>
        <w:pStyle w:val="NormalWeb"/>
        <w:spacing w:before="0" w:beforeAutospacing="0" w:after="0" w:afterAutospacing="0" w:line="276" w:lineRule="auto"/>
        <w:ind w:firstLine="709"/>
        <w:jc w:val="both"/>
        <w:rPr>
          <w:lang w:val="ro-MD"/>
        </w:rPr>
      </w:pPr>
      <w:r w:rsidRPr="00483DC7">
        <w:rPr>
          <w:lang w:val="ro-MD"/>
        </w:rPr>
        <w:t>Î</w:t>
      </w:r>
      <w:r w:rsidR="005D5E5B" w:rsidRPr="00483DC7">
        <w:rPr>
          <w:lang w:val="ro-MD"/>
        </w:rPr>
        <w:t xml:space="preserve">n timp ce unele UIPFAE au reușit să finalizeze proiecte importante în infrastructură, alte unități s-au concentrat mai mult pe consolidarea capacităților instituționale ale administrației publice, </w:t>
      </w:r>
      <w:r w:rsidR="005B038C">
        <w:rPr>
          <w:lang w:val="ro-MD"/>
        </w:rPr>
        <w:t>abordarea dată generând</w:t>
      </w:r>
      <w:r w:rsidR="005D5E5B" w:rsidRPr="00483DC7">
        <w:rPr>
          <w:lang w:val="ro-MD"/>
        </w:rPr>
        <w:t xml:space="preserve"> o lipsă de uniformitate, limitând capacitatea de a obține o imagine coerentă a progreselor la nivel general. </w:t>
      </w:r>
      <w:r w:rsidR="005B038C">
        <w:rPr>
          <w:lang w:val="ro-MD"/>
        </w:rPr>
        <w:t>În rezultat</w:t>
      </w:r>
      <w:r w:rsidR="005D5E5B" w:rsidRPr="00483DC7">
        <w:rPr>
          <w:lang w:val="ro-MD"/>
        </w:rPr>
        <w:t xml:space="preserve">, progresele </w:t>
      </w:r>
      <w:r w:rsidR="005B038C">
        <w:rPr>
          <w:lang w:val="ro-MD"/>
        </w:rPr>
        <w:t>fiind</w:t>
      </w:r>
      <w:r w:rsidR="005D5E5B" w:rsidRPr="00483DC7">
        <w:rPr>
          <w:lang w:val="ro-MD"/>
        </w:rPr>
        <w:t xml:space="preserve"> proiectate într-un spectru îngust, care nu po</w:t>
      </w:r>
      <w:r w:rsidR="009A7AF9">
        <w:rPr>
          <w:lang w:val="ro-MD"/>
        </w:rPr>
        <w:t>a</w:t>
      </w:r>
      <w:r w:rsidR="005D5E5B" w:rsidRPr="00483DC7">
        <w:rPr>
          <w:lang w:val="ro-MD"/>
        </w:rPr>
        <w:t>t</w:t>
      </w:r>
      <w:r w:rsidR="009A7AF9">
        <w:rPr>
          <w:lang w:val="ro-MD"/>
        </w:rPr>
        <w:t>e</w:t>
      </w:r>
      <w:r w:rsidR="005D5E5B" w:rsidRPr="00483DC7">
        <w:rPr>
          <w:lang w:val="ro-MD"/>
        </w:rPr>
        <w:t xml:space="preserve"> demonstra un aport sau o dezvoltare considerabilă a întregului domeniu. </w:t>
      </w:r>
    </w:p>
    <w:p w14:paraId="1E06603A" w14:textId="691946A6" w:rsidR="005D5E5B" w:rsidRPr="00483DC7" w:rsidRDefault="005D5E5B" w:rsidP="005B038C">
      <w:pPr>
        <w:pStyle w:val="NormalWeb"/>
        <w:spacing w:before="0" w:beforeAutospacing="0" w:after="0" w:afterAutospacing="0" w:line="276" w:lineRule="auto"/>
        <w:ind w:firstLine="709"/>
        <w:jc w:val="both"/>
        <w:rPr>
          <w:lang w:val="ro-MD"/>
        </w:rPr>
      </w:pPr>
      <w:r w:rsidRPr="00483DC7">
        <w:rPr>
          <w:lang w:val="ro-MD"/>
        </w:rPr>
        <w:t>De exemplu</w:t>
      </w:r>
      <w:r w:rsidR="009A7AF9">
        <w:rPr>
          <w:lang w:val="ro-MD"/>
        </w:rPr>
        <w:t>,</w:t>
      </w:r>
      <w:r w:rsidRPr="00483DC7">
        <w:rPr>
          <w:lang w:val="ro-MD"/>
        </w:rPr>
        <w:t xml:space="preserve"> </w:t>
      </w:r>
      <w:r w:rsidR="005B038C">
        <w:rPr>
          <w:lang w:val="ro-MD"/>
        </w:rPr>
        <w:t>activitățile</w:t>
      </w:r>
      <w:r w:rsidRPr="00483DC7">
        <w:rPr>
          <w:lang w:val="ro-MD"/>
        </w:rPr>
        <w:t xml:space="preserve"> </w:t>
      </w:r>
      <w:r w:rsidR="001F3ABE" w:rsidRPr="00483DC7">
        <w:rPr>
          <w:lang w:val="ro-MD"/>
        </w:rPr>
        <w:t>realizat</w:t>
      </w:r>
      <w:r w:rsidR="005B038C">
        <w:rPr>
          <w:lang w:val="ro-MD"/>
        </w:rPr>
        <w:t>e</w:t>
      </w:r>
      <w:r w:rsidR="009A7AF9">
        <w:rPr>
          <w:lang w:val="ro-MD"/>
        </w:rPr>
        <w:t xml:space="preserve"> de către UCIMP DS</w:t>
      </w:r>
      <w:r w:rsidRPr="00483DC7">
        <w:rPr>
          <w:lang w:val="ro-MD"/>
        </w:rPr>
        <w:t xml:space="preserve"> se axează pe desfășurarea activităților în cadrul Programului Național HIV/SIDA/ITS și Programului Național de Control al Tuberculozei, indicatorii de produs</w:t>
      </w:r>
      <w:r w:rsidR="005B038C">
        <w:rPr>
          <w:lang w:val="ro-MD"/>
        </w:rPr>
        <w:t xml:space="preserve"> în cadrul programului național demonstrează </w:t>
      </w:r>
      <w:r w:rsidRPr="00483DC7">
        <w:rPr>
          <w:lang w:val="ro-MD"/>
        </w:rPr>
        <w:t>creșterea accesului la diagnostic și tratament, în speci</w:t>
      </w:r>
      <w:r w:rsidR="005B038C">
        <w:rPr>
          <w:lang w:val="ro-MD"/>
        </w:rPr>
        <w:t xml:space="preserve">al pentru grupurile vulnerabile. Totodată, </w:t>
      </w:r>
      <w:r w:rsidRPr="00483DC7">
        <w:rPr>
          <w:lang w:val="ro-MD"/>
        </w:rPr>
        <w:t>unele ținte încă nu au fost atinse, întrucât obiectivele și țintele sunt stabilite pentru finalul anului 2025. La etapa actuală indicatorii intermediari raportați demonstrează un impact în comunitate, prin creșterea accesului la diagnostic și tratament, precum și la scăderea mortalității pentru TB și HIV/SIDA, însă nu se poate stabili dacă toate mecanismele implementate de către managementul Proiectului asigură atingerea țintelor stabilite la inițierea lui</w:t>
      </w:r>
      <w:r w:rsidRPr="00483DC7">
        <w:rPr>
          <w:rStyle w:val="FootnoteReference"/>
          <w:lang w:val="ro-MD"/>
        </w:rPr>
        <w:footnoteReference w:id="82"/>
      </w:r>
      <w:r w:rsidRPr="00483DC7">
        <w:rPr>
          <w:lang w:val="ro-MD"/>
        </w:rPr>
        <w:t xml:space="preserve">. </w:t>
      </w:r>
    </w:p>
    <w:p w14:paraId="75A64EE2" w14:textId="7AFCC74D"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 xml:space="preserve"> Astfel</w:t>
      </w:r>
      <w:r w:rsidR="009A7AF9">
        <w:rPr>
          <w:lang w:val="ro-MD"/>
        </w:rPr>
        <w:t>,</w:t>
      </w:r>
      <w:r w:rsidRPr="00483DC7">
        <w:rPr>
          <w:lang w:val="ro-MD"/>
        </w:rPr>
        <w:t xml:space="preserve"> se menționează că este necesară o monitorizare continuă pentru a asigura înregistrarea rezultatelor pozitive, inclusiv prin consolidarea strategiilor de stabilire a indicatorilor de rezultat și a mecanismelor de atingere a lor, în special în condițiile în care implementarea măsurilor de prevenire și combatere a TB și a HIV/SIDA urmează a fi transpusă în responsabilitatea autorităților naționale atât din punct de vedere financiar</w:t>
      </w:r>
      <w:r w:rsidR="00D344CB">
        <w:rPr>
          <w:lang w:val="ro-MD"/>
        </w:rPr>
        <w:t>,</w:t>
      </w:r>
      <w:r w:rsidRPr="00483DC7">
        <w:rPr>
          <w:lang w:val="ro-MD"/>
        </w:rPr>
        <w:t xml:space="preserve"> cât și administrativ. </w:t>
      </w:r>
    </w:p>
    <w:p w14:paraId="082D2EB0" w14:textId="6872E09B"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Totodată deși ADMA a implementat un portofoliu de proiecte structurate și concentrate pe modernizarea și susținerea fermierilor din Republica Moldova prin acces facil la tehnologi</w:t>
      </w:r>
      <w:r w:rsidR="006824D8">
        <w:rPr>
          <w:lang w:val="ro-MD"/>
        </w:rPr>
        <w:t>i</w:t>
      </w:r>
      <w:r w:rsidRPr="00483DC7">
        <w:rPr>
          <w:lang w:val="ro-MD"/>
        </w:rPr>
        <w:t xml:space="preserve"> și echipamente moderne,</w:t>
      </w:r>
      <w:r w:rsidR="00D344CB">
        <w:rPr>
          <w:lang w:val="ro-MD"/>
        </w:rPr>
        <w:t xml:space="preserve"> Agenția</w:t>
      </w:r>
      <w:r w:rsidRPr="00483DC7">
        <w:rPr>
          <w:lang w:val="ro-MD"/>
        </w:rPr>
        <w:t xml:space="preserve"> nu urmează același mecanism de implementare caracteristic majorității unităților de implementare a proiectelor. Prin urmare se atestă că modelul continuu de achiziție, fără perioade specifice de apel, a permis o adaptare dinamică la solicitările fermierilor, ceea ce a facilitat </w:t>
      </w:r>
      <w:r w:rsidR="006824D8">
        <w:rPr>
          <w:lang w:val="ro-MD"/>
        </w:rPr>
        <w:t>realizarea</w:t>
      </w:r>
      <w:r w:rsidRPr="00483DC7">
        <w:rPr>
          <w:lang w:val="ro-MD"/>
        </w:rPr>
        <w:t xml:space="preserve"> eficientă și rapidă a obiectivelor.</w:t>
      </w:r>
    </w:p>
    <w:p w14:paraId="4864CFB5" w14:textId="7A5B6414"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 xml:space="preserve">În </w:t>
      </w:r>
      <w:r w:rsidR="00D344CB">
        <w:rPr>
          <w:lang w:val="ro-MD"/>
        </w:rPr>
        <w:t>aceeași ordine</w:t>
      </w:r>
      <w:r w:rsidRPr="00483DC7">
        <w:rPr>
          <w:lang w:val="ro-MD"/>
        </w:rPr>
        <w:t xml:space="preserve"> de idei se subliniază că în domeniul agriculturii, în Republica Moldova deși există 4 UIPFAE, fiecare cu domenii separate de activitate, cu portofolii vaste sau înguste de proiecte, în ansamblu nu poate fi stabilit un progres vădit în domeniu, fapt menționat inclusiv în Strategia </w:t>
      </w:r>
      <w:r w:rsidR="00D344CB">
        <w:rPr>
          <w:lang w:val="ro-MD"/>
        </w:rPr>
        <w:t>n</w:t>
      </w:r>
      <w:r w:rsidRPr="00483DC7">
        <w:rPr>
          <w:lang w:val="ro-MD"/>
        </w:rPr>
        <w:t xml:space="preserve">ațională de </w:t>
      </w:r>
      <w:r w:rsidR="00D344CB">
        <w:rPr>
          <w:lang w:val="ro-MD"/>
        </w:rPr>
        <w:t>d</w:t>
      </w:r>
      <w:r w:rsidRPr="00483DC7">
        <w:rPr>
          <w:lang w:val="ro-MD"/>
        </w:rPr>
        <w:t xml:space="preserve">ezvoltare </w:t>
      </w:r>
      <w:r w:rsidR="00D344CB">
        <w:rPr>
          <w:lang w:val="ro-MD"/>
        </w:rPr>
        <w:t>a</w:t>
      </w:r>
      <w:r w:rsidRPr="00483DC7">
        <w:rPr>
          <w:lang w:val="ro-MD"/>
        </w:rPr>
        <w:t xml:space="preserve">gricolă și </w:t>
      </w:r>
      <w:r w:rsidR="00D344CB">
        <w:rPr>
          <w:lang w:val="ro-MD"/>
        </w:rPr>
        <w:t>r</w:t>
      </w:r>
      <w:r w:rsidRPr="00483DC7">
        <w:rPr>
          <w:lang w:val="ro-MD"/>
        </w:rPr>
        <w:t>urală</w:t>
      </w:r>
      <w:r w:rsidR="00D344CB">
        <w:rPr>
          <w:lang w:val="ro-MD"/>
        </w:rPr>
        <w:t xml:space="preserve"> pentru anii</w:t>
      </w:r>
      <w:r w:rsidRPr="00483DC7">
        <w:rPr>
          <w:lang w:val="ro-MD"/>
        </w:rPr>
        <w:t xml:space="preserve"> 2023-2030</w:t>
      </w:r>
      <w:r w:rsidRPr="00483DC7">
        <w:rPr>
          <w:rStyle w:val="FootnoteReference"/>
          <w:lang w:val="ro-MD"/>
        </w:rPr>
        <w:footnoteReference w:id="83"/>
      </w:r>
      <w:r w:rsidRPr="00483DC7">
        <w:rPr>
          <w:lang w:val="ro-MD"/>
        </w:rPr>
        <w:t>.</w:t>
      </w:r>
    </w:p>
    <w:p w14:paraId="5E812E51" w14:textId="06F192A1" w:rsidR="005D5E5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Având în vedere aceste diferențe, este imperativ de a identifica modelul relevant atât specificului național, cât și domeniului de intervenție, pentru a putea asigura uniformitatea mecanismului de implementare</w:t>
      </w:r>
      <w:r w:rsidR="00460E37">
        <w:rPr>
          <w:lang w:val="ro-MD"/>
        </w:rPr>
        <w:t xml:space="preserve"> a proiectelor</w:t>
      </w:r>
      <w:r w:rsidRPr="00483DC7">
        <w:rPr>
          <w:lang w:val="ro-MD"/>
        </w:rPr>
        <w:t>, ceea ce ar putea contribui la o monitorizare consecventă și o coordonare centrată a rezultatelor obținute. Aceasta de asemenea ar asigura și legătura directă cu documentele strategice naționale sau sectoriale pentru a putea înțelege nivelul de acoperire și de dezvoltare a acestora.</w:t>
      </w:r>
    </w:p>
    <w:p w14:paraId="3B239101" w14:textId="3DAD94C8" w:rsidR="005D5E5B" w:rsidRPr="00483DC7" w:rsidRDefault="00460E37" w:rsidP="00460E37">
      <w:pPr>
        <w:ind w:firstLine="709"/>
        <w:jc w:val="both"/>
        <w:rPr>
          <w:rFonts w:ascii="Times New Roman" w:hAnsi="Times New Roman" w:cs="Times New Roman"/>
          <w:b/>
          <w:sz w:val="24"/>
          <w:szCs w:val="24"/>
          <w:lang w:val="ro-MD"/>
        </w:rPr>
      </w:pPr>
      <w:r>
        <w:rPr>
          <w:rFonts w:ascii="Times New Roman" w:hAnsi="Times New Roman" w:cs="Times New Roman"/>
          <w:sz w:val="24"/>
          <w:szCs w:val="24"/>
          <w:lang w:val="ro-MD"/>
        </w:rPr>
        <w:t>D</w:t>
      </w:r>
      <w:r w:rsidR="005D5E5B" w:rsidRPr="00483DC7">
        <w:rPr>
          <w:rFonts w:ascii="Times New Roman" w:hAnsi="Times New Roman" w:cs="Times New Roman"/>
          <w:sz w:val="24"/>
          <w:szCs w:val="24"/>
          <w:lang w:val="ro-MD"/>
        </w:rPr>
        <w:t xml:space="preserve">eși UIPFAE sunt esențiale pentru realizarea proiectelor finanțate de partenerii de dezvoltare, </w:t>
      </w:r>
      <w:r>
        <w:rPr>
          <w:rFonts w:ascii="Times New Roman" w:hAnsi="Times New Roman" w:cs="Times New Roman"/>
          <w:sz w:val="24"/>
          <w:szCs w:val="24"/>
          <w:lang w:val="ro-MD"/>
        </w:rPr>
        <w:t>diferite modele</w:t>
      </w:r>
      <w:r w:rsidR="005D5E5B" w:rsidRPr="00483DC7">
        <w:rPr>
          <w:rFonts w:ascii="Times New Roman" w:hAnsi="Times New Roman" w:cs="Times New Roman"/>
          <w:sz w:val="24"/>
          <w:szCs w:val="24"/>
          <w:lang w:val="ro-MD"/>
        </w:rPr>
        <w:t xml:space="preserve"> de gestionare și monitorizare</w:t>
      </w:r>
      <w:r>
        <w:rPr>
          <w:rFonts w:ascii="Times New Roman" w:hAnsi="Times New Roman" w:cs="Times New Roman"/>
          <w:sz w:val="24"/>
          <w:szCs w:val="24"/>
          <w:lang w:val="ro-MD"/>
        </w:rPr>
        <w:t xml:space="preserve"> a unităților</w:t>
      </w:r>
      <w:r w:rsidR="005D5E5B" w:rsidRPr="00483DC7">
        <w:rPr>
          <w:rFonts w:ascii="Times New Roman" w:hAnsi="Times New Roman" w:cs="Times New Roman"/>
          <w:sz w:val="24"/>
          <w:szCs w:val="24"/>
          <w:lang w:val="ro-MD"/>
        </w:rPr>
        <w:t xml:space="preserve"> generează </w:t>
      </w:r>
      <w:r>
        <w:rPr>
          <w:rFonts w:ascii="Times New Roman" w:hAnsi="Times New Roman" w:cs="Times New Roman"/>
          <w:sz w:val="24"/>
          <w:szCs w:val="24"/>
          <w:lang w:val="ro-MD"/>
        </w:rPr>
        <w:t xml:space="preserve">criterii și abordări interpretabile în evaluarea performanței. </w:t>
      </w:r>
      <w:r w:rsidR="005D5E5B" w:rsidRPr="00483DC7">
        <w:rPr>
          <w:rFonts w:ascii="Times New Roman" w:hAnsi="Times New Roman" w:cs="Times New Roman"/>
          <w:sz w:val="24"/>
          <w:szCs w:val="24"/>
          <w:lang w:val="ro-MD"/>
        </w:rPr>
        <w:t xml:space="preserve">Lipsa unui cadru unitar complică atât monitorizarea eficientă a progresului, cât și corelarea indicatorilor, afectând vizibilitatea impactului pe termen lung. Pentru a optimiza implementarea și a alinia rezultatele cu strategiile naționale, este necesară </w:t>
      </w:r>
      <w:r w:rsidR="005D5E5B" w:rsidRPr="00483DC7">
        <w:rPr>
          <w:rFonts w:ascii="Times New Roman" w:hAnsi="Times New Roman" w:cs="Times New Roman"/>
          <w:sz w:val="24"/>
          <w:szCs w:val="24"/>
          <w:lang w:val="ro-MD"/>
        </w:rPr>
        <w:lastRenderedPageBreak/>
        <w:t>standardizarea, la nivel de autoritate națională cu rol de  coordonare a asistenței externe, a proceselor de management și monitorizare, care să asigure consistenț</w:t>
      </w:r>
      <w:r w:rsidR="00D344CB">
        <w:rPr>
          <w:rFonts w:ascii="Times New Roman" w:hAnsi="Times New Roman" w:cs="Times New Roman"/>
          <w:sz w:val="24"/>
          <w:szCs w:val="24"/>
          <w:lang w:val="ro-MD"/>
        </w:rPr>
        <w:t>a</w:t>
      </w:r>
      <w:r w:rsidR="005D5E5B" w:rsidRPr="00483DC7">
        <w:rPr>
          <w:rFonts w:ascii="Times New Roman" w:hAnsi="Times New Roman" w:cs="Times New Roman"/>
          <w:sz w:val="24"/>
          <w:szCs w:val="24"/>
          <w:lang w:val="ro-MD"/>
        </w:rPr>
        <w:t xml:space="preserve"> și integrare</w:t>
      </w:r>
      <w:r w:rsidR="00D344CB">
        <w:rPr>
          <w:rFonts w:ascii="Times New Roman" w:hAnsi="Times New Roman" w:cs="Times New Roman"/>
          <w:sz w:val="24"/>
          <w:szCs w:val="24"/>
          <w:lang w:val="ro-MD"/>
        </w:rPr>
        <w:t>a</w:t>
      </w:r>
      <w:r w:rsidR="005D5E5B" w:rsidRPr="00483DC7">
        <w:rPr>
          <w:rFonts w:ascii="Times New Roman" w:hAnsi="Times New Roman" w:cs="Times New Roman"/>
          <w:sz w:val="24"/>
          <w:szCs w:val="24"/>
          <w:lang w:val="ro-MD"/>
        </w:rPr>
        <w:t xml:space="preserve"> în dezvoltarea națională.</w:t>
      </w:r>
    </w:p>
    <w:p w14:paraId="21565054" w14:textId="4C43FE5A" w:rsidR="00BA0C2B" w:rsidRPr="00483DC7" w:rsidRDefault="00BA0C2B" w:rsidP="00BA0C2B">
      <w:pPr>
        <w:spacing w:after="0"/>
        <w:jc w:val="both"/>
        <w:rPr>
          <w:rFonts w:ascii="Times New Roman" w:hAnsi="Times New Roman" w:cs="Times New Roman"/>
          <w:b/>
          <w:sz w:val="24"/>
          <w:szCs w:val="24"/>
          <w:lang w:val="ro-MD"/>
        </w:rPr>
      </w:pPr>
      <w:r w:rsidRPr="00483DC7">
        <w:rPr>
          <w:rFonts w:ascii="Times New Roman" w:hAnsi="Times New Roman" w:cs="Times New Roman"/>
          <w:b/>
          <w:sz w:val="24"/>
          <w:szCs w:val="24"/>
          <w:lang w:val="ro-MD"/>
        </w:rPr>
        <w:t>4.2.2.2. UIPFAE au avut un rol esențial în transferul de cunoștințe către instituțiile guvernamentale, însă termen</w:t>
      </w:r>
      <w:r w:rsidR="00D344CB">
        <w:rPr>
          <w:rFonts w:ascii="Times New Roman" w:hAnsi="Times New Roman" w:cs="Times New Roman"/>
          <w:b/>
          <w:sz w:val="24"/>
          <w:szCs w:val="24"/>
          <w:lang w:val="ro-MD"/>
        </w:rPr>
        <w:t>ele</w:t>
      </w:r>
      <w:r w:rsidRPr="00483DC7">
        <w:rPr>
          <w:rFonts w:ascii="Times New Roman" w:hAnsi="Times New Roman" w:cs="Times New Roman"/>
          <w:b/>
          <w:sz w:val="24"/>
          <w:szCs w:val="24"/>
          <w:lang w:val="ro-MD"/>
        </w:rPr>
        <w:t xml:space="preserve"> restrân</w:t>
      </w:r>
      <w:r w:rsidR="00D344CB">
        <w:rPr>
          <w:rFonts w:ascii="Times New Roman" w:hAnsi="Times New Roman" w:cs="Times New Roman"/>
          <w:b/>
          <w:sz w:val="24"/>
          <w:szCs w:val="24"/>
          <w:lang w:val="ro-MD"/>
        </w:rPr>
        <w:t>se</w:t>
      </w:r>
      <w:r w:rsidRPr="00483DC7">
        <w:rPr>
          <w:rFonts w:ascii="Times New Roman" w:hAnsi="Times New Roman" w:cs="Times New Roman"/>
          <w:b/>
          <w:sz w:val="24"/>
          <w:szCs w:val="24"/>
          <w:lang w:val="ro-MD"/>
        </w:rPr>
        <w:t xml:space="preserve">, lipsa de interes </w:t>
      </w:r>
      <w:r w:rsidR="00D344CB">
        <w:rPr>
          <w:rFonts w:ascii="Times New Roman" w:hAnsi="Times New Roman" w:cs="Times New Roman"/>
          <w:b/>
          <w:sz w:val="24"/>
          <w:szCs w:val="24"/>
          <w:lang w:val="ro-MD"/>
        </w:rPr>
        <w:t>din partea</w:t>
      </w:r>
      <w:r w:rsidRPr="00483DC7">
        <w:rPr>
          <w:rFonts w:ascii="Times New Roman" w:hAnsi="Times New Roman" w:cs="Times New Roman"/>
          <w:b/>
          <w:sz w:val="24"/>
          <w:szCs w:val="24"/>
          <w:lang w:val="ro-MD"/>
        </w:rPr>
        <w:t xml:space="preserve"> instituțiilor beneficiare, capacitatea limitată de absorbție a expertizei și fluctuația personalului din cadrul autorităților publice au dus la realizarea lentă a obiectivelor de consolidare instituțională.</w:t>
      </w:r>
    </w:p>
    <w:p w14:paraId="079970A9" w14:textId="5EB78842" w:rsidR="00533A0A" w:rsidRDefault="005D5E5B" w:rsidP="005D5E5B">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Potrivit criteriilor de evaluare a dezvoltării asistenței externe</w:t>
      </w:r>
      <w:r w:rsidRPr="00483DC7">
        <w:rPr>
          <w:rStyle w:val="FootnoteReference"/>
          <w:rFonts w:ascii="Times New Roman" w:hAnsi="Times New Roman" w:cs="Times New Roman"/>
          <w:sz w:val="24"/>
          <w:szCs w:val="24"/>
          <w:lang w:val="ro-MD"/>
        </w:rPr>
        <w:footnoteReference w:id="84"/>
      </w:r>
      <w:r w:rsidRPr="00483DC7">
        <w:rPr>
          <w:rFonts w:ascii="Times New Roman" w:hAnsi="Times New Roman" w:cs="Times New Roman"/>
          <w:sz w:val="24"/>
          <w:szCs w:val="24"/>
          <w:lang w:val="ro-MD"/>
        </w:rPr>
        <w:t xml:space="preserve">, continuitatea proiectelor finanțate din surse externe este esențială pentru asigurarea impactului sustenabil și a valorii adăugate a investițiilor. Conform Băncii Mondiale „măsurile post-implementare” sunt absolut necesare, acestea presupunând planuri de menținere și alocare a resurselor pentru mentenanță și actualizare, pentru a preveni pierderea beneficiilor și degradarea infrastructurii realizate în cadrul proiectelor finanțate. </w:t>
      </w:r>
    </w:p>
    <w:p w14:paraId="16AA0C04" w14:textId="612447AF" w:rsidR="00533A0A" w:rsidRDefault="005D5E5B" w:rsidP="005D5E5B">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De asemenea, </w:t>
      </w:r>
      <w:r w:rsidR="00B070F6">
        <w:rPr>
          <w:rFonts w:ascii="Times New Roman" w:hAnsi="Times New Roman" w:cs="Times New Roman"/>
          <w:sz w:val="24"/>
          <w:szCs w:val="24"/>
          <w:lang w:val="ro-MD"/>
        </w:rPr>
        <w:t>Organizația pentru cooperare și dezvoltare economică</w:t>
      </w:r>
      <w:r w:rsidRPr="00483DC7">
        <w:rPr>
          <w:rFonts w:ascii="Times New Roman" w:hAnsi="Times New Roman" w:cs="Times New Roman"/>
          <w:sz w:val="24"/>
          <w:szCs w:val="24"/>
          <w:lang w:val="ro-MD"/>
        </w:rPr>
        <w:t xml:space="preserve"> identifică „sustenabilitatea” ca unul dintre pilonii evaluării proiectelor, atrăgând atenția că investițiile externe au impact dacă sunt susținute de o continuitate a proceselor și resurselor necesare în perioada de post-implementare. Acestea, precum și</w:t>
      </w:r>
      <w:r w:rsidRPr="00483DC7">
        <w:rPr>
          <w:lang w:val="ro-MD"/>
        </w:rPr>
        <w:t xml:space="preserve"> </w:t>
      </w:r>
      <w:r w:rsidRPr="00483DC7">
        <w:rPr>
          <w:rFonts w:ascii="Times New Roman" w:hAnsi="Times New Roman" w:cs="Times New Roman"/>
          <w:sz w:val="24"/>
          <w:szCs w:val="24"/>
          <w:lang w:val="ro-MD"/>
        </w:rPr>
        <w:t>Ghidul pentru Managementul de Proiect pentru Dezvoltare al Băncii Mondiale</w:t>
      </w:r>
      <w:r w:rsidRPr="00483DC7">
        <w:rPr>
          <w:rStyle w:val="FootnoteReference"/>
          <w:rFonts w:ascii="Times New Roman" w:hAnsi="Times New Roman" w:cs="Times New Roman"/>
          <w:sz w:val="24"/>
          <w:szCs w:val="24"/>
          <w:lang w:val="ro-MD"/>
        </w:rPr>
        <w:footnoteReference w:id="85"/>
      </w:r>
      <w:r w:rsidRPr="00483DC7">
        <w:rPr>
          <w:rFonts w:ascii="Times New Roman" w:hAnsi="Times New Roman" w:cs="Times New Roman"/>
          <w:sz w:val="24"/>
          <w:szCs w:val="24"/>
          <w:lang w:val="ro-MD"/>
        </w:rPr>
        <w:t xml:space="preserve"> subliniază că finalizarea implementării fizice a unui proiect nu garantează, în sine, atingerea obiectivelor pe termen lung fără măsuri pentru continuitate. Prin urmare</w:t>
      </w:r>
      <w:r w:rsidR="006824D8">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UIPFAE-urile trebuie să asigure sustenabilitatea pe termen lung a proiectelor implementate. </w:t>
      </w:r>
    </w:p>
    <w:p w14:paraId="1250B150" w14:textId="02DA959B" w:rsidR="005D5E5B" w:rsidRPr="00483DC7" w:rsidRDefault="005D5E5B" w:rsidP="005D5E5B">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În acest sens unitățile trebuie să dețină strategii clare pentru a asigura continuitatea proiectelor după încheierea finanțării externe. Or, acest lucru implică nu doar finalizarea proiectului în termenul stabilit, ci și asigurarea că instituțiile guvernamentale au capacitatea de a întreține și de a extinde proiectele implementate. </w:t>
      </w:r>
    </w:p>
    <w:p w14:paraId="6F917D39" w14:textId="0C60F122" w:rsidR="005D5E5B" w:rsidRPr="00483DC7" w:rsidRDefault="00533A0A" w:rsidP="005D5E5B">
      <w:pPr>
        <w:pStyle w:val="NormalWeb"/>
        <w:spacing w:before="0" w:beforeAutospacing="0" w:after="0" w:afterAutospacing="0" w:line="276" w:lineRule="auto"/>
        <w:ind w:firstLine="709"/>
        <w:jc w:val="both"/>
        <w:rPr>
          <w:lang w:val="ro-MD"/>
        </w:rPr>
      </w:pPr>
      <w:r>
        <w:rPr>
          <w:lang w:val="ro-MD"/>
        </w:rPr>
        <w:t>Astfel,</w:t>
      </w:r>
      <w:r w:rsidR="005D5E5B" w:rsidRPr="00483DC7">
        <w:rPr>
          <w:lang w:val="ro-MD"/>
        </w:rPr>
        <w:t xml:space="preserve"> UIPFAE-le trebuie să </w:t>
      </w:r>
      <w:r w:rsidR="00D344CB">
        <w:rPr>
          <w:lang w:val="ro-MD"/>
        </w:rPr>
        <w:t>efectueze</w:t>
      </w:r>
      <w:r w:rsidR="005D5E5B" w:rsidRPr="00483DC7">
        <w:rPr>
          <w:lang w:val="ro-MD"/>
        </w:rPr>
        <w:t xml:space="preserve"> expertiză specifică și să contribuie la dezvoltarea capacităților instituționale și ale resurselor umane din cadrul instituțiilor publice</w:t>
      </w:r>
      <w:r w:rsidR="00D344CB">
        <w:rPr>
          <w:lang w:val="ro-MD"/>
        </w:rPr>
        <w:t>. Totodată,</w:t>
      </w:r>
      <w:r>
        <w:rPr>
          <w:lang w:val="ro-MD"/>
        </w:rPr>
        <w:t xml:space="preserve"> </w:t>
      </w:r>
      <w:r w:rsidR="005D5E5B" w:rsidRPr="00483DC7">
        <w:rPr>
          <w:lang w:val="ro-MD"/>
        </w:rPr>
        <w:t>acestea nu trebuie să se limiteze doar la implementarea proiectelor, ci să includă și transferul de cunoștințe către personalul administrației publice, astfel încât acesta să poată gestiona proiecte similare în viitor. În multe cazuri, UIPFAE-urile sunt necesare tocmai pentru a compensa lipsa de expertiză tehnică și administrativă a acestor instituții, asigurându-se că transferul de cunoștințe către personalul administrației este eficient și sustenabil.</w:t>
      </w:r>
    </w:p>
    <w:p w14:paraId="4C579C90" w14:textId="4303E403" w:rsidR="00BA0C2B" w:rsidRPr="00483DC7" w:rsidRDefault="005D5E5B" w:rsidP="005D5E5B">
      <w:pPr>
        <w:pStyle w:val="NormalWeb"/>
        <w:spacing w:before="0" w:beforeAutospacing="0" w:after="0" w:afterAutospacing="0" w:line="276" w:lineRule="auto"/>
        <w:ind w:firstLine="709"/>
        <w:jc w:val="both"/>
        <w:rPr>
          <w:lang w:val="ro-MD"/>
        </w:rPr>
      </w:pPr>
      <w:r w:rsidRPr="00483DC7">
        <w:rPr>
          <w:lang w:val="ro-MD"/>
        </w:rPr>
        <w:t>Potrivit informațiilor analizate, î</w:t>
      </w:r>
      <w:r w:rsidR="00BA0C2B" w:rsidRPr="00483DC7">
        <w:rPr>
          <w:lang w:val="ro-MD"/>
        </w:rPr>
        <w:t>n perioada 2022-2023, 6 UIPFAE-uri au desfășurat o gamă largă de activități menite să sprijine instituțiile administrației publice, atât la nivel central, cât și local. Printre acestea s-au numărat oferirea de suport instituțional și informațional instituțiilor fondatoare și altor structuri din administrația publică, consolidarea capacităților instituțiilor prin instruiri și vizite de studiu, precum și acordarea de asistență tehnică pentru îmbunătățirea infrastructurii și proceselor interne</w:t>
      </w:r>
      <w:r w:rsidR="00460E37">
        <w:rPr>
          <w:lang w:val="ro-MD"/>
        </w:rPr>
        <w:t xml:space="preserve"> a acestora</w:t>
      </w:r>
      <w:r w:rsidR="00BA0C2B" w:rsidRPr="00483DC7">
        <w:rPr>
          <w:lang w:val="ro-MD"/>
        </w:rPr>
        <w:t>. Aceste activități au avut ca scop principal pregătirea instituțiilor pentru a implementa eficient proiectele de asistență externă și pentru a dezvolta capacitățile necesare gestionării viitoarelor inițiative similare.</w:t>
      </w:r>
    </w:p>
    <w:p w14:paraId="581E1CFF" w14:textId="77777777" w:rsidR="00BA0C2B" w:rsidRPr="00483DC7" w:rsidRDefault="00BA0C2B" w:rsidP="005D5E5B">
      <w:pPr>
        <w:pStyle w:val="NormalWeb"/>
        <w:spacing w:before="0" w:beforeAutospacing="0" w:after="0" w:afterAutospacing="0" w:line="276" w:lineRule="auto"/>
        <w:ind w:firstLine="709"/>
        <w:jc w:val="both"/>
        <w:rPr>
          <w:lang w:val="ro-MD"/>
        </w:rPr>
      </w:pPr>
      <w:r w:rsidRPr="00483DC7">
        <w:rPr>
          <w:lang w:val="ro-MD"/>
        </w:rPr>
        <w:t xml:space="preserve">Investiția totală în aceste activități a fost de peste 61,7 milioane lei, reflectând un efort considerabil pentru dezvoltarea competențelor și abilităților beneficiarilor. Cu toate acestea, succesul acestor investiții depinde în mare măsură de capacitatea instituțiilor de a aplica în mod continuu și eficient cunoștințele dobândite. Instituțiile beneficiare trebuie să demonstreze că </w:t>
      </w:r>
      <w:r w:rsidRPr="00483DC7">
        <w:rPr>
          <w:lang w:val="ro-MD"/>
        </w:rPr>
        <w:lastRenderedPageBreak/>
        <w:t>expertiza primită nu este doar absorbită, ci și integrată în activitatea lor zilnică, contribuind astfel la îmbunătățirea capacității lor operaționale.</w:t>
      </w:r>
    </w:p>
    <w:p w14:paraId="20FE009F" w14:textId="14321616" w:rsidR="00533A0A" w:rsidRDefault="00BA0C2B" w:rsidP="0081674B">
      <w:pPr>
        <w:pStyle w:val="NormalWeb"/>
        <w:spacing w:before="0" w:beforeAutospacing="0" w:after="0" w:afterAutospacing="0" w:line="276" w:lineRule="auto"/>
        <w:ind w:firstLine="709"/>
        <w:jc w:val="both"/>
        <w:rPr>
          <w:lang w:val="ro-MD"/>
        </w:rPr>
      </w:pPr>
      <w:r w:rsidRPr="00483DC7">
        <w:rPr>
          <w:lang w:val="ro-MD"/>
        </w:rPr>
        <w:t xml:space="preserve">Un exemplu elocvent îl reprezintă activitățile </w:t>
      </w:r>
      <w:r w:rsidR="008F381B" w:rsidRPr="00483DC7">
        <w:rPr>
          <w:lang w:val="ro-MD"/>
        </w:rPr>
        <w:t>UIPCLPSV II</w:t>
      </w:r>
      <w:r w:rsidRPr="00483DC7">
        <w:rPr>
          <w:lang w:val="ro-MD"/>
        </w:rPr>
        <w:t xml:space="preserve">, care a oferit suport Ministerului Infrastructurii și Dezvoltării Regionale în elaborarea și avizarea actelor normative necesare pentru derularea proiectelor de construcție a locuințelor sociale. De asemenea, </w:t>
      </w:r>
      <w:r w:rsidR="0081674B" w:rsidRPr="00483DC7">
        <w:rPr>
          <w:lang w:val="ro-MD"/>
        </w:rPr>
        <w:t xml:space="preserve">unitatea de implementare a proiectului </w:t>
      </w:r>
      <w:r w:rsidRPr="00483DC7">
        <w:rPr>
          <w:lang w:val="ro-MD"/>
        </w:rPr>
        <w:t xml:space="preserve">„Securitatea aprovizionării cu apă și sanitație în Moldova” a desfășurat sesiuni de instruire și vizite de studiu pentru operatorii de apă și canalizare, contribuind la creșterea capacităților operaționale ale acestora. </w:t>
      </w:r>
    </w:p>
    <w:p w14:paraId="37FD4281" w14:textId="77777777" w:rsidR="00533A0A" w:rsidRDefault="00BA0C2B" w:rsidP="0081674B">
      <w:pPr>
        <w:pStyle w:val="NormalWeb"/>
        <w:spacing w:before="0" w:beforeAutospacing="0" w:after="0" w:afterAutospacing="0" w:line="276" w:lineRule="auto"/>
        <w:ind w:firstLine="709"/>
        <w:jc w:val="both"/>
        <w:rPr>
          <w:lang w:val="ro-MD"/>
        </w:rPr>
      </w:pPr>
      <w:r w:rsidRPr="00483DC7">
        <w:rPr>
          <w:lang w:val="ro-MD"/>
        </w:rPr>
        <w:t xml:space="preserve">Un alt exemplu este </w:t>
      </w:r>
      <w:r w:rsidR="0081674B" w:rsidRPr="00483DC7">
        <w:rPr>
          <w:lang w:val="ro-MD"/>
        </w:rPr>
        <w:t xml:space="preserve">unitatea de implementare a </w:t>
      </w:r>
      <w:r w:rsidRPr="00483DC7">
        <w:rPr>
          <w:lang w:val="ro-MD"/>
        </w:rPr>
        <w:t>„Proiectul</w:t>
      </w:r>
      <w:r w:rsidR="0081674B" w:rsidRPr="00483DC7">
        <w:rPr>
          <w:lang w:val="ro-MD"/>
        </w:rPr>
        <w:t>ui</w:t>
      </w:r>
      <w:r w:rsidRPr="00483DC7">
        <w:rPr>
          <w:lang w:val="ro-MD"/>
        </w:rPr>
        <w:t xml:space="preserve"> de competitivitate a ÎMMM,” care a oferit suport tehnic și consultativ pentru Ministerul Dezvoltării Economice și Digitalizării și alte instituții, facilitând dezvoltarea infrastructurii economice și simplificarea sarcinilor administrative pentru sectorul </w:t>
      </w:r>
      <w:r w:rsidR="0081674B" w:rsidRPr="00483DC7">
        <w:rPr>
          <w:lang w:val="ro-MD"/>
        </w:rPr>
        <w:t xml:space="preserve">privat. </w:t>
      </w:r>
    </w:p>
    <w:p w14:paraId="63529857" w14:textId="72C7E2A6" w:rsidR="00BA0C2B" w:rsidRPr="00483DC7" w:rsidRDefault="0081674B" w:rsidP="0081674B">
      <w:pPr>
        <w:pStyle w:val="NormalWeb"/>
        <w:spacing w:before="0" w:beforeAutospacing="0" w:after="0" w:afterAutospacing="0" w:line="276" w:lineRule="auto"/>
        <w:ind w:firstLine="709"/>
        <w:jc w:val="both"/>
        <w:rPr>
          <w:lang w:val="ro-MD"/>
        </w:rPr>
      </w:pPr>
      <w:r w:rsidRPr="00483DC7">
        <w:rPr>
          <w:lang w:val="ro-MD"/>
        </w:rPr>
        <w:t>Deși</w:t>
      </w:r>
      <w:r w:rsidR="00BA0C2B" w:rsidRPr="00483DC7">
        <w:rPr>
          <w:lang w:val="ro-MD"/>
        </w:rPr>
        <w:t xml:space="preserve"> aceste acțiuni au avut un impact semnificativ, există </w:t>
      </w:r>
      <w:r w:rsidR="00533A0A">
        <w:rPr>
          <w:lang w:val="ro-MD"/>
        </w:rPr>
        <w:t>unele</w:t>
      </w:r>
      <w:r w:rsidR="00533A0A" w:rsidRPr="00483DC7">
        <w:rPr>
          <w:lang w:val="ro-MD"/>
        </w:rPr>
        <w:t xml:space="preserve"> </w:t>
      </w:r>
      <w:r w:rsidR="00BA0C2B" w:rsidRPr="00483DC7">
        <w:rPr>
          <w:lang w:val="ro-MD"/>
        </w:rPr>
        <w:t>riscuri care pot compromite succesul pe termen lung al acestor inițiative. Unul dintre principalele riscuri es</w:t>
      </w:r>
      <w:r w:rsidRPr="00483DC7">
        <w:rPr>
          <w:lang w:val="ro-MD"/>
        </w:rPr>
        <w:t>t</w:t>
      </w:r>
      <w:r w:rsidR="00BA0C2B" w:rsidRPr="00483DC7">
        <w:rPr>
          <w:lang w:val="ro-MD"/>
        </w:rPr>
        <w:t xml:space="preserve">e lipsa unei planificări strategice clare pe termen lung. În multe cazuri, activitățile UIPFAE sunt desfășurate fără o evaluare adecvată a nevoilor instituțiilor beneficiare și fără stabilirea unor obiective concrete pentru consolidarea capacităților acestora. Acest lucru poate duce la implementarea fragmentată a proiectelor, </w:t>
      </w:r>
      <w:r w:rsidR="0079126F">
        <w:rPr>
          <w:lang w:val="ro-MD"/>
        </w:rPr>
        <w:t>la reducerea</w:t>
      </w:r>
      <w:r w:rsidR="00BA0C2B" w:rsidRPr="00483DC7">
        <w:rPr>
          <w:lang w:val="ro-MD"/>
        </w:rPr>
        <w:t xml:space="preserve"> impactul</w:t>
      </w:r>
      <w:r w:rsidR="0079126F">
        <w:rPr>
          <w:lang w:val="ro-MD"/>
        </w:rPr>
        <w:t>ui</w:t>
      </w:r>
      <w:r w:rsidR="00BA0C2B" w:rsidRPr="00483DC7">
        <w:rPr>
          <w:lang w:val="ro-MD"/>
        </w:rPr>
        <w:t xml:space="preserve"> lor pe termen lung și </w:t>
      </w:r>
      <w:r w:rsidR="0079126F">
        <w:rPr>
          <w:lang w:val="ro-MD"/>
        </w:rPr>
        <w:t xml:space="preserve">a </w:t>
      </w:r>
      <w:r w:rsidR="00BA0C2B" w:rsidRPr="00483DC7">
        <w:rPr>
          <w:lang w:val="ro-MD"/>
        </w:rPr>
        <w:t>dezvolt</w:t>
      </w:r>
      <w:r w:rsidR="0079126F">
        <w:rPr>
          <w:lang w:val="ro-MD"/>
        </w:rPr>
        <w:t>ării</w:t>
      </w:r>
      <w:r w:rsidR="00BA0C2B" w:rsidRPr="00483DC7">
        <w:rPr>
          <w:lang w:val="ro-MD"/>
        </w:rPr>
        <w:t xml:space="preserve"> durabil</w:t>
      </w:r>
      <w:r w:rsidR="0079126F">
        <w:rPr>
          <w:lang w:val="ro-MD"/>
        </w:rPr>
        <w:t>e</w:t>
      </w:r>
      <w:r w:rsidR="00BA0C2B" w:rsidRPr="00483DC7">
        <w:rPr>
          <w:lang w:val="ro-MD"/>
        </w:rPr>
        <w:t>.</w:t>
      </w:r>
    </w:p>
    <w:p w14:paraId="71F15CDF" w14:textId="20897A00" w:rsidR="00E71239" w:rsidRPr="00483DC7" w:rsidRDefault="00BA0C2B" w:rsidP="005D5E5B">
      <w:pPr>
        <w:pStyle w:val="NormalWeb"/>
        <w:spacing w:before="0" w:beforeAutospacing="0" w:after="0" w:afterAutospacing="0" w:line="276" w:lineRule="auto"/>
        <w:ind w:firstLine="709"/>
        <w:jc w:val="both"/>
        <w:rPr>
          <w:lang w:val="ro-MD"/>
        </w:rPr>
      </w:pPr>
      <w:r w:rsidRPr="00483DC7">
        <w:rPr>
          <w:lang w:val="ro-MD"/>
        </w:rPr>
        <w:t xml:space="preserve">În ciuda eforturilor UIPFAE, nu toate instituțiile dispun de resursele umane și </w:t>
      </w:r>
      <w:r w:rsidR="0079126F">
        <w:rPr>
          <w:lang w:val="ro-MD"/>
        </w:rPr>
        <w:t>logistice</w:t>
      </w:r>
      <w:r w:rsidRPr="00483DC7">
        <w:rPr>
          <w:lang w:val="ro-MD"/>
        </w:rPr>
        <w:t xml:space="preserve"> necesar</w:t>
      </w:r>
      <w:r w:rsidR="0079126F">
        <w:rPr>
          <w:lang w:val="ro-MD"/>
        </w:rPr>
        <w:t>e</w:t>
      </w:r>
      <w:r w:rsidRPr="00483DC7">
        <w:rPr>
          <w:lang w:val="ro-MD"/>
        </w:rPr>
        <w:t xml:space="preserve"> pentru a valorifica eficient cunoștințele </w:t>
      </w:r>
      <w:r w:rsidR="00E71239" w:rsidRPr="00483DC7">
        <w:rPr>
          <w:lang w:val="ro-MD"/>
        </w:rPr>
        <w:t>obținute</w:t>
      </w:r>
      <w:r w:rsidRPr="00483DC7">
        <w:rPr>
          <w:lang w:val="ro-MD"/>
        </w:rPr>
        <w:t xml:space="preserve">. Acest lucru poate genera blocaje în aplicarea recomandărilor și poate împiedica progresul proceselor de reformă instituțională. </w:t>
      </w:r>
    </w:p>
    <w:p w14:paraId="72AB1E10" w14:textId="64FDA6B5" w:rsidR="00BA0C2B" w:rsidRPr="00483DC7" w:rsidRDefault="00BA0C2B" w:rsidP="005D5E5B">
      <w:pPr>
        <w:pStyle w:val="NormalWeb"/>
        <w:spacing w:before="0" w:beforeAutospacing="0" w:after="0" w:afterAutospacing="0" w:line="276" w:lineRule="auto"/>
        <w:ind w:firstLine="709"/>
        <w:jc w:val="both"/>
        <w:rPr>
          <w:lang w:val="ro-MD"/>
        </w:rPr>
      </w:pPr>
      <w:r w:rsidRPr="00483DC7">
        <w:rPr>
          <w:lang w:val="ro-MD"/>
        </w:rPr>
        <w:t>Mai mult, monitorizarea insuficientă a modului în care instituțiile beneficiare aplică expertiza dobândită reprezintă o altă vulnerabilitate. Fără un mecanism clar de feedback și ajustare a activităților, rezultatele pot fi inconsistente și riscă să nu contribuie în mod semnificativ la atingerea obiectivelor strategice pe termen lung.</w:t>
      </w:r>
    </w:p>
    <w:p w14:paraId="29AD5190" w14:textId="4AE73D8B" w:rsidR="00BA0C2B" w:rsidRPr="00483DC7" w:rsidRDefault="00BA0C2B" w:rsidP="005D5E5B">
      <w:pPr>
        <w:pStyle w:val="NormalWeb"/>
        <w:spacing w:before="0" w:beforeAutospacing="0" w:after="0" w:afterAutospacing="0" w:line="276" w:lineRule="auto"/>
        <w:ind w:firstLine="709"/>
        <w:jc w:val="both"/>
        <w:rPr>
          <w:lang w:val="ro-MD"/>
        </w:rPr>
      </w:pPr>
      <w:r w:rsidRPr="00483DC7">
        <w:rPr>
          <w:lang w:val="ro-MD"/>
        </w:rPr>
        <w:t xml:space="preserve">Pentru a evita aceste riscuri și pentru a asigura durabilitatea </w:t>
      </w:r>
      <w:r w:rsidR="00E71239" w:rsidRPr="00483DC7">
        <w:rPr>
          <w:lang w:val="ro-MD"/>
        </w:rPr>
        <w:t xml:space="preserve">proiectelor gestionate de către </w:t>
      </w:r>
      <w:r w:rsidRPr="00483DC7">
        <w:rPr>
          <w:lang w:val="ro-MD"/>
        </w:rPr>
        <w:t>UIPFAE, este esențial ca autoritățile publice să adopte măsuri concrete. Acestea includ crearea unui sistem de stimulente și oportunități de formare continuă pentru personalul format, astfel încât să fie motiva</w:t>
      </w:r>
      <w:r w:rsidR="006824D8">
        <w:rPr>
          <w:lang w:val="ro-MD"/>
        </w:rPr>
        <w:t>t</w:t>
      </w:r>
      <w:r w:rsidRPr="00483DC7">
        <w:rPr>
          <w:lang w:val="ro-MD"/>
        </w:rPr>
        <w:t xml:space="preserve"> să aplice cunoștințele dobândite și să contribuie la realizarea obiectivelor proiectelor. De asemenea, este necesar să se stabilească un cadru formal care să impună utilizarea acestor cunoștințe în mod sistematic prin proceduri interne și modificarea reglementărilor existente. Totodată, formarea continuă, mentoratul și evaluările periodice sunt esențiale pentru a asigura aplicarea eficientă a expertizei.</w:t>
      </w:r>
    </w:p>
    <w:p w14:paraId="791EBDA0" w14:textId="5A4FAED9" w:rsidR="00BA0C2B" w:rsidRPr="00483DC7" w:rsidRDefault="00BA0C2B" w:rsidP="00F24412">
      <w:pPr>
        <w:pStyle w:val="NormalWeb"/>
        <w:spacing w:before="0" w:beforeAutospacing="0" w:after="0" w:afterAutospacing="0" w:line="276" w:lineRule="auto"/>
        <w:ind w:firstLine="709"/>
        <w:jc w:val="both"/>
        <w:rPr>
          <w:lang w:val="ro-MD"/>
        </w:rPr>
      </w:pPr>
      <w:r w:rsidRPr="00483DC7">
        <w:rPr>
          <w:lang w:val="ro-MD"/>
        </w:rPr>
        <w:t>Succesul UIPFAE depinde în mod direct de capacitatea autorităților</w:t>
      </w:r>
      <w:r w:rsidR="00E57AFD" w:rsidRPr="00483DC7">
        <w:rPr>
          <w:lang w:val="ro-MD"/>
        </w:rPr>
        <w:t xml:space="preserve"> publice centrale</w:t>
      </w:r>
      <w:r w:rsidRPr="00483DC7">
        <w:rPr>
          <w:lang w:val="ro-MD"/>
        </w:rPr>
        <w:t xml:space="preserve"> de a crea o cultură organizațională orientată spre inovație și îmbunătățire continuă. Fără un angajament clar în acest sens, există riscul ca fondurile investite să nu producă rezultatele dorite, iar UIPFAE să devină</w:t>
      </w:r>
      <w:r w:rsidR="00AB2884">
        <w:rPr>
          <w:lang w:val="ro-MD"/>
        </w:rPr>
        <w:t xml:space="preserve"> mai degrabă</w:t>
      </w:r>
      <w:r w:rsidRPr="00483DC7">
        <w:rPr>
          <w:lang w:val="ro-MD"/>
        </w:rPr>
        <w:t xml:space="preserve"> un substitut al capacității instituționale, decât un mecanism de dezvoltare a acesteia. În acest caz, administrațiile publice ar rămâne dependente de UIPFAE, perpetuând un ciclu în care instituțiile guvernamentale nu reușesc să își dezvolte capacitățile interne.</w:t>
      </w:r>
    </w:p>
    <w:p w14:paraId="43947093" w14:textId="77777777" w:rsidR="00BA0C2B" w:rsidRPr="00483DC7" w:rsidRDefault="00BA0C2B" w:rsidP="00F24412">
      <w:pPr>
        <w:pStyle w:val="NormalWeb"/>
        <w:spacing w:before="0" w:beforeAutospacing="0" w:after="0" w:afterAutospacing="0" w:line="276" w:lineRule="auto"/>
        <w:ind w:firstLine="709"/>
        <w:jc w:val="both"/>
        <w:rPr>
          <w:lang w:val="ro-MD"/>
        </w:rPr>
      </w:pPr>
      <w:r w:rsidRPr="00483DC7">
        <w:rPr>
          <w:lang w:val="ro-MD"/>
        </w:rPr>
        <w:t>Totodată, fluctuația personalului din instituțiile publice afectează grav transferul de cunoștințe dinspre UIPFAE către autorități, deoarece continuitatea în gestionarea proiectelor devine greu de realizat. În concluzie, deși UIPFAE reușesc să implementeze proiectele cu succes, impactul pe termen lung asupra capacităților instituționale este limitat. Această lipsă de continuitate și integrare în structurile guvernamentale riscă să afecteze dezvoltarea durabilă a administrației publice.</w:t>
      </w:r>
    </w:p>
    <w:p w14:paraId="30AF8B79" w14:textId="159F3601" w:rsidR="004614E2" w:rsidRPr="00483DC7" w:rsidRDefault="00BA0C2B" w:rsidP="00F2441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Colaborarea strânsă între UIPFAE și instituțiile guvernamentale este esențială pentru dezvoltarea capacităților instituționale și implementarea unor mecanisme riguroase de transparență </w:t>
      </w:r>
      <w:r w:rsidRPr="00483DC7">
        <w:rPr>
          <w:rFonts w:ascii="Times New Roman" w:hAnsi="Times New Roman" w:cs="Times New Roman"/>
          <w:sz w:val="24"/>
          <w:szCs w:val="24"/>
          <w:lang w:val="ro-MD"/>
        </w:rPr>
        <w:lastRenderedPageBreak/>
        <w:t>și control financiar. Deși UIPFAE-urile joacă un rol crucial în succesul proiectelor mari, este necesară o supraveghere continuă reciprocă pentru a asigura că acestea nu devin substitut pentru capacitatea guvernamentală, ci, dimpotrivă, un catalizator al dezvoltării acesteia pe termen lung.</w:t>
      </w:r>
    </w:p>
    <w:p w14:paraId="17E78CE6" w14:textId="2B94AA16" w:rsidR="005D5E5B" w:rsidRPr="00483DC7" w:rsidRDefault="005D5E5B" w:rsidP="00F24412">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cadrul unor UIPFAE s-a stabilit că acestea nu dețin astfel de strategii, ceea ce poate duce la un impact diminuat al proiectului pe termen lung, chiar dacă obiectivele imediate au fost atinse. Acest fapt este critic în special în situația în care lipsește legătura obiectivelor proiectelor cu strategiile sectoriale sau naționale.</w:t>
      </w:r>
    </w:p>
    <w:p w14:paraId="7574C63A" w14:textId="054D0956" w:rsidR="00216258" w:rsidRPr="00483DC7" w:rsidRDefault="00216258" w:rsidP="00B320FE">
      <w:pPr>
        <w:pStyle w:val="Heading1"/>
        <w:jc w:val="center"/>
        <w:rPr>
          <w:rFonts w:ascii="Times New Roman" w:hAnsi="Times New Roman" w:cs="Times New Roman"/>
          <w:b/>
          <w:color w:val="auto"/>
          <w:sz w:val="24"/>
          <w:szCs w:val="24"/>
          <w:lang w:val="ro-MD"/>
        </w:rPr>
      </w:pPr>
      <w:r w:rsidRPr="00483DC7">
        <w:rPr>
          <w:rFonts w:ascii="Times New Roman" w:hAnsi="Times New Roman" w:cs="Times New Roman"/>
          <w:b/>
          <w:color w:val="auto"/>
          <w:sz w:val="24"/>
          <w:szCs w:val="24"/>
          <w:lang w:val="ro-MD"/>
        </w:rPr>
        <w:br w:type="page"/>
      </w:r>
    </w:p>
    <w:p w14:paraId="59867327" w14:textId="62627022" w:rsidR="00ED5FF1" w:rsidRPr="00483DC7" w:rsidRDefault="00705001" w:rsidP="00B320FE">
      <w:pPr>
        <w:pStyle w:val="Heading1"/>
        <w:jc w:val="center"/>
        <w:rPr>
          <w:rFonts w:ascii="Times New Roman" w:hAnsi="Times New Roman" w:cs="Times New Roman"/>
          <w:b/>
          <w:sz w:val="24"/>
          <w:szCs w:val="24"/>
          <w:lang w:val="ro-MD"/>
        </w:rPr>
      </w:pPr>
      <w:bookmarkStart w:id="20" w:name="_Toc185943221"/>
      <w:r w:rsidRPr="00483DC7">
        <w:rPr>
          <w:rFonts w:ascii="Times New Roman" w:hAnsi="Times New Roman" w:cs="Times New Roman"/>
          <w:b/>
          <w:color w:val="auto"/>
          <w:sz w:val="24"/>
          <w:szCs w:val="24"/>
          <w:lang w:val="ro-MD"/>
        </w:rPr>
        <w:lastRenderedPageBreak/>
        <w:t>V. CONCLUZIE GENERALĂ</w:t>
      </w:r>
      <w:bookmarkEnd w:id="20"/>
    </w:p>
    <w:p w14:paraId="13D8A0C9" w14:textId="77777777" w:rsidR="009254E4" w:rsidRPr="00483DC7" w:rsidRDefault="00ED5FF1"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Gestionarea eficientă a asistenței externe acordată Republicii Moldova joacă un rol crucial în atingerea obiectivelor naționale de dezvoltare și îmbunătățirea nivelului de trai al populației. Respectarea cu responsabilitate a angajamentelor internaționale permite menținerea unor relații de încredere și cooperare cu partenerii externi de dezvoltare. </w:t>
      </w:r>
    </w:p>
    <w:p w14:paraId="15FC82FA" w14:textId="6A31715C" w:rsidR="00ED5FF1" w:rsidRPr="00483DC7" w:rsidRDefault="003E67B4"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I</w:t>
      </w:r>
      <w:r w:rsidR="00ED5FF1" w:rsidRPr="00483DC7">
        <w:rPr>
          <w:rFonts w:ascii="Times New Roman" w:hAnsi="Times New Roman" w:cs="Times New Roman"/>
          <w:sz w:val="24"/>
          <w:szCs w:val="24"/>
          <w:lang w:val="ro-MD"/>
        </w:rPr>
        <w:t xml:space="preserve">dentificarea și </w:t>
      </w:r>
      <w:r w:rsidR="009254E4" w:rsidRPr="00483DC7">
        <w:rPr>
          <w:rFonts w:ascii="Times New Roman" w:hAnsi="Times New Roman" w:cs="Times New Roman"/>
          <w:sz w:val="24"/>
          <w:szCs w:val="24"/>
          <w:lang w:val="ro-MD"/>
        </w:rPr>
        <w:t>soluționarea optimă, în timp reali, a</w:t>
      </w:r>
      <w:r w:rsidR="00ED5FF1" w:rsidRPr="00483DC7">
        <w:rPr>
          <w:rFonts w:ascii="Times New Roman" w:hAnsi="Times New Roman" w:cs="Times New Roman"/>
          <w:sz w:val="24"/>
          <w:szCs w:val="24"/>
          <w:lang w:val="ro-MD"/>
        </w:rPr>
        <w:t xml:space="preserve"> problemelor legate de gestionarea asistenței externe, </w:t>
      </w:r>
      <w:r w:rsidRPr="00483DC7">
        <w:rPr>
          <w:rFonts w:ascii="Times New Roman" w:hAnsi="Times New Roman" w:cs="Times New Roman"/>
          <w:sz w:val="24"/>
          <w:szCs w:val="24"/>
          <w:lang w:val="ro-MD"/>
        </w:rPr>
        <w:t>consolidează</w:t>
      </w:r>
      <w:r w:rsidR="00ED5FF1" w:rsidRPr="00483DC7">
        <w:rPr>
          <w:rFonts w:ascii="Times New Roman" w:hAnsi="Times New Roman" w:cs="Times New Roman"/>
          <w:sz w:val="24"/>
          <w:szCs w:val="24"/>
          <w:lang w:val="ro-MD"/>
        </w:rPr>
        <w:t xml:space="preserve"> eforturi</w:t>
      </w:r>
      <w:r w:rsidRPr="00483DC7">
        <w:rPr>
          <w:rFonts w:ascii="Times New Roman" w:hAnsi="Times New Roman" w:cs="Times New Roman"/>
          <w:sz w:val="24"/>
          <w:szCs w:val="24"/>
          <w:lang w:val="ro-MD"/>
        </w:rPr>
        <w:t>le părților interesate, reduc</w:t>
      </w:r>
      <w:r w:rsidR="00ED5FF1" w:rsidRPr="00483DC7">
        <w:rPr>
          <w:rFonts w:ascii="Times New Roman" w:hAnsi="Times New Roman" w:cs="Times New Roman"/>
          <w:sz w:val="24"/>
          <w:szCs w:val="24"/>
          <w:lang w:val="ro-MD"/>
        </w:rPr>
        <w:t xml:space="preserve"> riscurile de ne</w:t>
      </w:r>
      <w:r w:rsidR="009254E4" w:rsidRPr="00483DC7">
        <w:rPr>
          <w:rFonts w:ascii="Times New Roman" w:hAnsi="Times New Roman" w:cs="Times New Roman"/>
          <w:sz w:val="24"/>
          <w:szCs w:val="24"/>
          <w:lang w:val="ro-MD"/>
        </w:rPr>
        <w:t xml:space="preserve">performanță în domeniul auditat, precum și </w:t>
      </w:r>
      <w:r w:rsidRPr="00483DC7">
        <w:rPr>
          <w:rFonts w:ascii="Times New Roman" w:hAnsi="Times New Roman" w:cs="Times New Roman"/>
          <w:sz w:val="24"/>
          <w:szCs w:val="24"/>
          <w:lang w:val="ro-MD"/>
        </w:rPr>
        <w:t>sporește gradul</w:t>
      </w:r>
      <w:r w:rsidR="009254E4" w:rsidRPr="00483DC7">
        <w:rPr>
          <w:rFonts w:ascii="Times New Roman" w:hAnsi="Times New Roman" w:cs="Times New Roman"/>
          <w:sz w:val="24"/>
          <w:szCs w:val="24"/>
          <w:lang w:val="ro-MD"/>
        </w:rPr>
        <w:t xml:space="preserve"> de încredere a partenerilor de dezvoltare, </w:t>
      </w:r>
      <w:r w:rsidRPr="00483DC7">
        <w:rPr>
          <w:rFonts w:ascii="Times New Roman" w:hAnsi="Times New Roman" w:cs="Times New Roman"/>
          <w:sz w:val="24"/>
          <w:szCs w:val="24"/>
          <w:lang w:val="ro-MD"/>
        </w:rPr>
        <w:t>iar</w:t>
      </w:r>
      <w:r w:rsidR="009254E4" w:rsidRPr="00483DC7">
        <w:rPr>
          <w:rFonts w:ascii="Times New Roman" w:hAnsi="Times New Roman" w:cs="Times New Roman"/>
          <w:sz w:val="24"/>
          <w:szCs w:val="24"/>
          <w:lang w:val="ro-MD"/>
        </w:rPr>
        <w:t xml:space="preserve"> pe cale de consecință, </w:t>
      </w:r>
      <w:r w:rsidRPr="00483DC7">
        <w:rPr>
          <w:rFonts w:ascii="Times New Roman" w:hAnsi="Times New Roman" w:cs="Times New Roman"/>
          <w:sz w:val="24"/>
          <w:szCs w:val="24"/>
          <w:lang w:val="ro-MD"/>
        </w:rPr>
        <w:t>creează premise pentru creșterea volumului</w:t>
      </w:r>
      <w:r w:rsidR="009254E4" w:rsidRPr="00483DC7">
        <w:rPr>
          <w:rFonts w:ascii="Times New Roman" w:hAnsi="Times New Roman" w:cs="Times New Roman"/>
          <w:sz w:val="24"/>
          <w:szCs w:val="24"/>
          <w:lang w:val="ro-MD"/>
        </w:rPr>
        <w:t xml:space="preserve"> de asistență externă disponibilă.</w:t>
      </w:r>
    </w:p>
    <w:p w14:paraId="13396233" w14:textId="5AEA830E" w:rsidR="00ED5FF1" w:rsidRPr="00483DC7" w:rsidRDefault="00ED5FF1"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Prin crearea, supravegherea și controlul activității unei UIP</w:t>
      </w:r>
      <w:r w:rsidR="009254E4" w:rsidRPr="00483DC7">
        <w:rPr>
          <w:rFonts w:ascii="Times New Roman" w:hAnsi="Times New Roman" w:cs="Times New Roman"/>
          <w:sz w:val="24"/>
          <w:szCs w:val="24"/>
          <w:lang w:val="ro-MD"/>
        </w:rPr>
        <w:t>FAE</w:t>
      </w:r>
      <w:r w:rsidR="00785957" w:rsidRPr="00483DC7">
        <w:rPr>
          <w:rFonts w:ascii="Times New Roman" w:hAnsi="Times New Roman" w:cs="Times New Roman"/>
          <w:sz w:val="24"/>
          <w:szCs w:val="24"/>
          <w:lang w:val="ro-MD"/>
        </w:rPr>
        <w:t xml:space="preserve">, </w:t>
      </w:r>
      <w:r w:rsidR="00E35858">
        <w:rPr>
          <w:rFonts w:ascii="Times New Roman" w:hAnsi="Times New Roman" w:cs="Times New Roman"/>
          <w:sz w:val="24"/>
          <w:szCs w:val="24"/>
          <w:lang w:val="ro-MD"/>
        </w:rPr>
        <w:t>av</w:t>
      </w:r>
      <w:r w:rsidR="00785957" w:rsidRPr="00483DC7">
        <w:rPr>
          <w:rFonts w:ascii="Times New Roman" w:hAnsi="Times New Roman" w:cs="Times New Roman"/>
          <w:sz w:val="24"/>
          <w:szCs w:val="24"/>
          <w:lang w:val="ro-MD"/>
        </w:rPr>
        <w:t>ând la bază în calitate de scop primordial – garantarea unui</w:t>
      </w:r>
      <w:r w:rsidRPr="00483DC7">
        <w:rPr>
          <w:rFonts w:ascii="Times New Roman" w:hAnsi="Times New Roman" w:cs="Times New Roman"/>
          <w:sz w:val="24"/>
          <w:szCs w:val="24"/>
          <w:lang w:val="ro-MD"/>
        </w:rPr>
        <w:t xml:space="preserve"> man</w:t>
      </w:r>
      <w:r w:rsidR="003E67B4" w:rsidRPr="00483DC7">
        <w:rPr>
          <w:rFonts w:ascii="Times New Roman" w:hAnsi="Times New Roman" w:cs="Times New Roman"/>
          <w:sz w:val="24"/>
          <w:szCs w:val="24"/>
          <w:lang w:val="ro-MD"/>
        </w:rPr>
        <w:t>agement transparent și eficace;</w:t>
      </w:r>
      <w:r w:rsidRPr="00483DC7">
        <w:rPr>
          <w:rFonts w:ascii="Times New Roman" w:hAnsi="Times New Roman" w:cs="Times New Roman"/>
          <w:sz w:val="24"/>
          <w:szCs w:val="24"/>
          <w:lang w:val="ro-MD"/>
        </w:rPr>
        <w:t xml:space="preserve"> </w:t>
      </w:r>
      <w:r w:rsidR="00785957" w:rsidRPr="00483DC7">
        <w:rPr>
          <w:rFonts w:ascii="Times New Roman" w:hAnsi="Times New Roman" w:cs="Times New Roman"/>
          <w:sz w:val="24"/>
          <w:szCs w:val="24"/>
          <w:lang w:val="ro-MD"/>
        </w:rPr>
        <w:t>asigurând</w:t>
      </w:r>
      <w:r w:rsidRPr="00483DC7">
        <w:rPr>
          <w:rFonts w:ascii="Times New Roman" w:hAnsi="Times New Roman" w:cs="Times New Roman"/>
          <w:sz w:val="24"/>
          <w:szCs w:val="24"/>
          <w:lang w:val="ro-MD"/>
        </w:rPr>
        <w:t xml:space="preserve"> o monitorizare riguroasă și o aliniere constantă la scopurile propuse, </w:t>
      </w:r>
      <w:r w:rsidR="00785957" w:rsidRPr="00483DC7">
        <w:rPr>
          <w:rFonts w:ascii="Times New Roman" w:hAnsi="Times New Roman" w:cs="Times New Roman"/>
          <w:sz w:val="24"/>
          <w:szCs w:val="24"/>
          <w:lang w:val="ro-MD"/>
        </w:rPr>
        <w:t xml:space="preserve">se va contribui direct și semnificativ </w:t>
      </w:r>
      <w:r w:rsidRPr="00483DC7">
        <w:rPr>
          <w:rFonts w:ascii="Times New Roman" w:hAnsi="Times New Roman" w:cs="Times New Roman"/>
          <w:sz w:val="24"/>
          <w:szCs w:val="24"/>
          <w:lang w:val="ro-MD"/>
        </w:rPr>
        <w:t>la succesul programului implementat.</w:t>
      </w:r>
    </w:p>
    <w:p w14:paraId="1B790CE8" w14:textId="2681F99D" w:rsidR="00ED5FF1" w:rsidRPr="00483DC7" w:rsidRDefault="00ED5FF1"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esență, un management transparent și eficace se referă la practici de conducere care asigură claritate, responsabilitate și eficiență în toate aspectele activităților unei organizații, ceea ce presupune</w:t>
      </w:r>
      <w:r w:rsidR="00E35858">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(i) informarea deschisă și corectă a tuturor părților interesate despre decizii, procese și rezultate, (ii) asumarea responsabilității pentru deciziile și acțiunile luate, cu mecanisme clare de evaluare și raportare și (iii) utilizarea resurselor în mod optim pentru a atinge obiectivele stabilite, cu accent pe rezultate și impact pozitiv, evitând risipa și ineficiența.  </w:t>
      </w:r>
    </w:p>
    <w:p w14:paraId="06B1A026" w14:textId="11BE0202" w:rsidR="00785957" w:rsidRPr="00483DC7" w:rsidRDefault="00ED5FF1"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În această ordine de idei,</w:t>
      </w:r>
      <w:r w:rsidR="00E35858">
        <w:rPr>
          <w:rFonts w:ascii="Times New Roman" w:hAnsi="Times New Roman" w:cs="Times New Roman"/>
          <w:sz w:val="24"/>
          <w:szCs w:val="24"/>
          <w:lang w:val="ro-MD"/>
        </w:rPr>
        <w:t xml:space="preserve"> ca</w:t>
      </w:r>
      <w:r w:rsidRPr="00483DC7">
        <w:rPr>
          <w:rFonts w:ascii="Times New Roman" w:hAnsi="Times New Roman" w:cs="Times New Roman"/>
          <w:sz w:val="24"/>
          <w:szCs w:val="24"/>
          <w:lang w:val="ro-MD"/>
        </w:rPr>
        <w:t xml:space="preserve"> urmare </w:t>
      </w:r>
      <w:r w:rsidR="00E35858">
        <w:rPr>
          <w:rFonts w:ascii="Times New Roman" w:hAnsi="Times New Roman" w:cs="Times New Roman"/>
          <w:sz w:val="24"/>
          <w:szCs w:val="24"/>
          <w:lang w:val="ro-MD"/>
        </w:rPr>
        <w:t xml:space="preserve">a </w:t>
      </w:r>
      <w:r w:rsidRPr="00483DC7">
        <w:rPr>
          <w:rFonts w:ascii="Times New Roman" w:hAnsi="Times New Roman" w:cs="Times New Roman"/>
          <w:sz w:val="24"/>
          <w:szCs w:val="24"/>
          <w:lang w:val="ro-MD"/>
        </w:rPr>
        <w:t xml:space="preserve">realizării misiunii de audit privind performanța activității unităților de coordonare, implementare și monitorizare a proiectelor finanțate prin asistență externă și utilizării resurselor financiare alocate, echipa de audit </w:t>
      </w:r>
      <w:r w:rsidR="00785957" w:rsidRPr="00483DC7">
        <w:rPr>
          <w:rFonts w:ascii="Times New Roman" w:hAnsi="Times New Roman" w:cs="Times New Roman"/>
          <w:sz w:val="24"/>
          <w:szCs w:val="24"/>
          <w:lang w:val="ro-MD"/>
        </w:rPr>
        <w:t xml:space="preserve">a constatat eforturi de consolidare a capacității și </w:t>
      </w:r>
      <w:r w:rsidR="0068718D">
        <w:rPr>
          <w:rFonts w:ascii="Times New Roman" w:hAnsi="Times New Roman" w:cs="Times New Roman"/>
          <w:sz w:val="24"/>
          <w:szCs w:val="24"/>
          <w:lang w:val="ro-MD"/>
        </w:rPr>
        <w:t xml:space="preserve">de </w:t>
      </w:r>
      <w:r w:rsidR="00785957" w:rsidRPr="00483DC7">
        <w:rPr>
          <w:rFonts w:ascii="Times New Roman" w:hAnsi="Times New Roman" w:cs="Times New Roman"/>
          <w:sz w:val="24"/>
          <w:szCs w:val="24"/>
          <w:lang w:val="ro-MD"/>
        </w:rPr>
        <w:t>sporire</w:t>
      </w:r>
      <w:r w:rsidR="0068718D">
        <w:rPr>
          <w:rFonts w:ascii="Times New Roman" w:hAnsi="Times New Roman" w:cs="Times New Roman"/>
          <w:sz w:val="24"/>
          <w:szCs w:val="24"/>
          <w:lang w:val="ro-MD"/>
        </w:rPr>
        <w:t xml:space="preserve"> </w:t>
      </w:r>
      <w:r w:rsidR="00785957" w:rsidRPr="00483DC7">
        <w:rPr>
          <w:rFonts w:ascii="Times New Roman" w:hAnsi="Times New Roman" w:cs="Times New Roman"/>
          <w:sz w:val="24"/>
          <w:szCs w:val="24"/>
          <w:lang w:val="ro-MD"/>
        </w:rPr>
        <w:t>a performanței UIPFAE, în unele cazuri</w:t>
      </w:r>
      <w:r w:rsidR="003E67B4" w:rsidRPr="00483DC7">
        <w:rPr>
          <w:rFonts w:ascii="Times New Roman" w:hAnsi="Times New Roman" w:cs="Times New Roman"/>
          <w:sz w:val="24"/>
          <w:szCs w:val="24"/>
          <w:lang w:val="ro-MD"/>
        </w:rPr>
        <w:t xml:space="preserve"> acestea fiind</w:t>
      </w:r>
      <w:r w:rsidR="00785957" w:rsidRPr="00483DC7">
        <w:rPr>
          <w:rFonts w:ascii="Times New Roman" w:hAnsi="Times New Roman" w:cs="Times New Roman"/>
          <w:sz w:val="24"/>
          <w:szCs w:val="24"/>
          <w:lang w:val="ro-MD"/>
        </w:rPr>
        <w:t xml:space="preserve"> fragmentate și sporadice, fapt care influențează esențial realizarea obiectivelor stabilite la etapa creării UIPFAE și, ulterior, la etapa de programare a fiecărui </w:t>
      </w:r>
      <w:r w:rsidR="003E67B4" w:rsidRPr="00483DC7">
        <w:rPr>
          <w:rFonts w:ascii="Times New Roman" w:hAnsi="Times New Roman" w:cs="Times New Roman"/>
          <w:sz w:val="24"/>
          <w:szCs w:val="24"/>
          <w:lang w:val="ro-MD"/>
        </w:rPr>
        <w:t xml:space="preserve">proiect </w:t>
      </w:r>
      <w:r w:rsidR="00785957" w:rsidRPr="00483DC7">
        <w:rPr>
          <w:rFonts w:ascii="Times New Roman" w:hAnsi="Times New Roman" w:cs="Times New Roman"/>
          <w:sz w:val="24"/>
          <w:szCs w:val="24"/>
          <w:lang w:val="ro-MD"/>
        </w:rPr>
        <w:t xml:space="preserve">individual. </w:t>
      </w:r>
    </w:p>
    <w:p w14:paraId="10C29EA2" w14:textId="72989EE9" w:rsidR="00785957" w:rsidRPr="00483DC7" w:rsidRDefault="00ED5FF1"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Deși evaluarea activității UIPFAE înregistrează rezultate mai mult pozitive, activitatea acestora se desfășoară fără a av</w:t>
      </w:r>
      <w:r w:rsidR="003E67B4" w:rsidRPr="00483DC7">
        <w:rPr>
          <w:rFonts w:ascii="Times New Roman" w:hAnsi="Times New Roman" w:cs="Times New Roman"/>
          <w:sz w:val="24"/>
          <w:szCs w:val="24"/>
          <w:lang w:val="ro-MD"/>
        </w:rPr>
        <w:t>ea un cadru normativ special și</w:t>
      </w:r>
      <w:r w:rsidR="00785957" w:rsidRPr="00483DC7">
        <w:rPr>
          <w:rFonts w:ascii="Times New Roman" w:hAnsi="Times New Roman" w:cs="Times New Roman"/>
          <w:sz w:val="24"/>
          <w:szCs w:val="24"/>
          <w:lang w:val="ro-MD"/>
        </w:rPr>
        <w:t xml:space="preserve"> </w:t>
      </w:r>
      <w:r w:rsidRPr="00483DC7">
        <w:rPr>
          <w:rFonts w:ascii="Times New Roman" w:hAnsi="Times New Roman" w:cs="Times New Roman"/>
          <w:sz w:val="24"/>
          <w:szCs w:val="24"/>
          <w:lang w:val="ro-MD"/>
        </w:rPr>
        <w:t>unificat</w:t>
      </w:r>
      <w:r w:rsidR="00785957"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care ar reglementa</w:t>
      </w:r>
      <w:r w:rsidR="003E67B4"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în</w:t>
      </w:r>
      <w:r w:rsidR="003E67B4" w:rsidRPr="00483DC7">
        <w:rPr>
          <w:rFonts w:ascii="Times New Roman" w:hAnsi="Times New Roman" w:cs="Times New Roman"/>
          <w:sz w:val="24"/>
          <w:szCs w:val="24"/>
          <w:lang w:val="ro-MD"/>
        </w:rPr>
        <w:t>tr-un</w:t>
      </w:r>
      <w:r w:rsidRPr="00483DC7">
        <w:rPr>
          <w:rFonts w:ascii="Times New Roman" w:hAnsi="Times New Roman" w:cs="Times New Roman"/>
          <w:sz w:val="24"/>
          <w:szCs w:val="24"/>
          <w:lang w:val="ro-MD"/>
        </w:rPr>
        <w:t xml:space="preserve"> mod </w:t>
      </w:r>
      <w:r w:rsidR="00785957" w:rsidRPr="00483DC7">
        <w:rPr>
          <w:rFonts w:ascii="Times New Roman" w:hAnsi="Times New Roman" w:cs="Times New Roman"/>
          <w:sz w:val="24"/>
          <w:szCs w:val="24"/>
          <w:lang w:val="ro-MD"/>
        </w:rPr>
        <w:t xml:space="preserve">lipsit de </w:t>
      </w:r>
      <w:r w:rsidRPr="00483DC7">
        <w:rPr>
          <w:rFonts w:ascii="Times New Roman" w:hAnsi="Times New Roman" w:cs="Times New Roman"/>
          <w:sz w:val="24"/>
          <w:szCs w:val="24"/>
          <w:lang w:val="ro-MD"/>
        </w:rPr>
        <w:t>echivoc</w:t>
      </w:r>
      <w:r w:rsidR="003E67B4"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statutul juri</w:t>
      </w:r>
      <w:r w:rsidR="00785957" w:rsidRPr="00483DC7">
        <w:rPr>
          <w:rFonts w:ascii="Times New Roman" w:hAnsi="Times New Roman" w:cs="Times New Roman"/>
          <w:sz w:val="24"/>
          <w:szCs w:val="24"/>
          <w:lang w:val="ro-MD"/>
        </w:rPr>
        <w:t xml:space="preserve">dic al acestor entități publice. </w:t>
      </w:r>
    </w:p>
    <w:p w14:paraId="3EF4F253" w14:textId="01C72132" w:rsidR="008814F7" w:rsidRPr="00483DC7" w:rsidRDefault="00785957"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Totodată, lipsa</w:t>
      </w:r>
      <w:r w:rsidR="00ED5FF1" w:rsidRPr="00483DC7">
        <w:rPr>
          <w:rFonts w:ascii="Times New Roman" w:hAnsi="Times New Roman" w:cs="Times New Roman"/>
          <w:sz w:val="24"/>
          <w:szCs w:val="24"/>
          <w:lang w:val="ro-MD"/>
        </w:rPr>
        <w:t xml:space="preserve"> un</w:t>
      </w:r>
      <w:r w:rsidRPr="00483DC7">
        <w:rPr>
          <w:rFonts w:ascii="Times New Roman" w:hAnsi="Times New Roman" w:cs="Times New Roman"/>
          <w:sz w:val="24"/>
          <w:szCs w:val="24"/>
          <w:lang w:val="ro-MD"/>
        </w:rPr>
        <w:t>ui</w:t>
      </w:r>
      <w:r w:rsidR="00ED5FF1" w:rsidRPr="00483DC7">
        <w:rPr>
          <w:rFonts w:ascii="Times New Roman" w:hAnsi="Times New Roman" w:cs="Times New Roman"/>
          <w:sz w:val="24"/>
          <w:szCs w:val="24"/>
          <w:lang w:val="ro-MD"/>
        </w:rPr>
        <w:t xml:space="preserve"> mecanism clar de evaluare și raportare</w:t>
      </w:r>
      <w:r w:rsidRPr="00483DC7">
        <w:rPr>
          <w:rFonts w:ascii="Times New Roman" w:hAnsi="Times New Roman" w:cs="Times New Roman"/>
          <w:sz w:val="24"/>
          <w:szCs w:val="24"/>
          <w:lang w:val="ro-MD"/>
        </w:rPr>
        <w:t xml:space="preserve"> a rezultatelor atinse de UIPFAE în calitate de instituți</w:t>
      </w:r>
      <w:r w:rsidR="00C624F9">
        <w:rPr>
          <w:rFonts w:ascii="Times New Roman" w:hAnsi="Times New Roman" w:cs="Times New Roman"/>
          <w:sz w:val="24"/>
          <w:szCs w:val="24"/>
          <w:lang w:val="ro-MD"/>
        </w:rPr>
        <w:t>i</w:t>
      </w:r>
      <w:r w:rsidRPr="00483DC7">
        <w:rPr>
          <w:rFonts w:ascii="Times New Roman" w:hAnsi="Times New Roman" w:cs="Times New Roman"/>
          <w:sz w:val="24"/>
          <w:szCs w:val="24"/>
          <w:lang w:val="ro-MD"/>
        </w:rPr>
        <w:t xml:space="preserve"> public</w:t>
      </w:r>
      <w:r w:rsidR="00C624F9">
        <w:rPr>
          <w:rFonts w:ascii="Times New Roman" w:hAnsi="Times New Roman" w:cs="Times New Roman"/>
          <w:sz w:val="24"/>
          <w:szCs w:val="24"/>
          <w:lang w:val="ro-MD"/>
        </w:rPr>
        <w:t>e</w:t>
      </w:r>
      <w:r w:rsidR="00241F58" w:rsidRPr="00483DC7">
        <w:rPr>
          <w:rFonts w:ascii="Times New Roman" w:hAnsi="Times New Roman" w:cs="Times New Roman"/>
          <w:sz w:val="24"/>
          <w:szCs w:val="24"/>
          <w:lang w:val="ro-MD"/>
        </w:rPr>
        <w:t>,</w:t>
      </w:r>
      <w:r w:rsidRPr="00483DC7">
        <w:rPr>
          <w:rFonts w:ascii="Times New Roman" w:hAnsi="Times New Roman" w:cs="Times New Roman"/>
          <w:sz w:val="24"/>
          <w:szCs w:val="24"/>
          <w:lang w:val="ro-MD"/>
        </w:rPr>
        <w:t xml:space="preserve"> bazat pe reguli unice și indicatori de performanță SMART</w:t>
      </w:r>
      <w:r w:rsidR="00ED5FF1" w:rsidRPr="00483DC7">
        <w:rPr>
          <w:rFonts w:ascii="Times New Roman" w:hAnsi="Times New Roman" w:cs="Times New Roman"/>
          <w:sz w:val="24"/>
          <w:szCs w:val="24"/>
          <w:lang w:val="ro-MD"/>
        </w:rPr>
        <w:t xml:space="preserve"> (specific, măsurabil, abordabil, relevant și încadrat în timp), </w:t>
      </w:r>
      <w:r w:rsidR="008814F7" w:rsidRPr="00483DC7">
        <w:rPr>
          <w:rFonts w:ascii="Times New Roman" w:hAnsi="Times New Roman" w:cs="Times New Roman"/>
          <w:sz w:val="24"/>
          <w:szCs w:val="24"/>
          <w:lang w:val="ro-MD"/>
        </w:rPr>
        <w:t>tind să minimizeze impactul obținut de către aceste entități.</w:t>
      </w:r>
      <w:r w:rsidR="00ED5FF1" w:rsidRPr="00483DC7">
        <w:rPr>
          <w:rFonts w:ascii="Times New Roman" w:hAnsi="Times New Roman" w:cs="Times New Roman"/>
          <w:sz w:val="24"/>
          <w:szCs w:val="24"/>
          <w:lang w:val="ro-MD"/>
        </w:rPr>
        <w:t xml:space="preserve"> La fel, auditul denotă prevederi ambigue cu referire la </w:t>
      </w:r>
      <w:r w:rsidR="008814F7" w:rsidRPr="00483DC7">
        <w:rPr>
          <w:rFonts w:ascii="Times New Roman" w:hAnsi="Times New Roman" w:cs="Times New Roman"/>
          <w:sz w:val="24"/>
          <w:szCs w:val="24"/>
          <w:lang w:val="ro-MD"/>
        </w:rPr>
        <w:t xml:space="preserve">gestionarea și remunerarea resurselor umane, precum și riscuri de limitare a transparenței și publicității în cadrul procedurilor de achiziții desfășurate </w:t>
      </w:r>
      <w:r w:rsidR="00241F58" w:rsidRPr="00483DC7">
        <w:rPr>
          <w:rFonts w:ascii="Times New Roman" w:hAnsi="Times New Roman" w:cs="Times New Roman"/>
          <w:sz w:val="24"/>
          <w:szCs w:val="24"/>
          <w:lang w:val="ro-MD"/>
        </w:rPr>
        <w:t>în implementarea</w:t>
      </w:r>
      <w:r w:rsidR="008814F7" w:rsidRPr="00483DC7">
        <w:rPr>
          <w:rFonts w:ascii="Times New Roman" w:hAnsi="Times New Roman" w:cs="Times New Roman"/>
          <w:sz w:val="24"/>
          <w:szCs w:val="24"/>
          <w:lang w:val="ro-MD"/>
        </w:rPr>
        <w:t xml:space="preserve"> proiectelor finanțate din asistență externă. </w:t>
      </w:r>
    </w:p>
    <w:p w14:paraId="791CFD2B" w14:textId="7D75BB30" w:rsidR="008814F7" w:rsidRPr="00483DC7" w:rsidRDefault="008814F7" w:rsidP="00216258">
      <w:pPr>
        <w:spacing w:after="0"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Astfel</w:t>
      </w:r>
      <w:r w:rsidR="00ED5FF1" w:rsidRPr="00483DC7">
        <w:rPr>
          <w:rFonts w:ascii="Times New Roman" w:hAnsi="Times New Roman" w:cs="Times New Roman"/>
          <w:sz w:val="24"/>
          <w:szCs w:val="24"/>
          <w:lang w:val="ro-MD"/>
        </w:rPr>
        <w:t xml:space="preserve">, în pofida faptului că crearea, supravegherea și controlul activității UIPFAE generează rezerve cu privire la asigurarea unui management transparent și eficace, activitatea UIPFAE produce rezultate semnificative datorită acțiunilor </w:t>
      </w:r>
      <w:r w:rsidR="00C624F9">
        <w:rPr>
          <w:rFonts w:ascii="Times New Roman" w:hAnsi="Times New Roman" w:cs="Times New Roman"/>
          <w:sz w:val="24"/>
          <w:szCs w:val="24"/>
          <w:lang w:val="ro-MD"/>
        </w:rPr>
        <w:t>lor</w:t>
      </w:r>
      <w:r w:rsidR="00ED5FF1" w:rsidRPr="00483DC7">
        <w:rPr>
          <w:rFonts w:ascii="Times New Roman" w:hAnsi="Times New Roman" w:cs="Times New Roman"/>
          <w:sz w:val="24"/>
          <w:szCs w:val="24"/>
          <w:lang w:val="ro-MD"/>
        </w:rPr>
        <w:t xml:space="preserve">. Aceste acțiuni au consecințe directe și indirecte asupra viitoarelor </w:t>
      </w:r>
      <w:r w:rsidRPr="00483DC7">
        <w:rPr>
          <w:rFonts w:ascii="Times New Roman" w:hAnsi="Times New Roman" w:cs="Times New Roman"/>
          <w:sz w:val="24"/>
          <w:szCs w:val="24"/>
          <w:lang w:val="ro-MD"/>
        </w:rPr>
        <w:t xml:space="preserve">evoluții </w:t>
      </w:r>
      <w:r w:rsidR="00ED5FF1" w:rsidRPr="00483DC7">
        <w:rPr>
          <w:rFonts w:ascii="Times New Roman" w:hAnsi="Times New Roman" w:cs="Times New Roman"/>
          <w:sz w:val="24"/>
          <w:szCs w:val="24"/>
          <w:lang w:val="ro-MD"/>
        </w:rPr>
        <w:t xml:space="preserve">din domeniile </w:t>
      </w:r>
      <w:r w:rsidR="00C624F9">
        <w:rPr>
          <w:rFonts w:ascii="Times New Roman" w:hAnsi="Times New Roman" w:cs="Times New Roman"/>
          <w:sz w:val="24"/>
          <w:szCs w:val="24"/>
          <w:lang w:val="ro-MD"/>
        </w:rPr>
        <w:t>lor</w:t>
      </w:r>
      <w:r w:rsidR="00ED5FF1" w:rsidRPr="00483DC7">
        <w:rPr>
          <w:rFonts w:ascii="Times New Roman" w:hAnsi="Times New Roman" w:cs="Times New Roman"/>
          <w:sz w:val="24"/>
          <w:szCs w:val="24"/>
          <w:lang w:val="ro-MD"/>
        </w:rPr>
        <w:t xml:space="preserve"> de competență. </w:t>
      </w:r>
    </w:p>
    <w:p w14:paraId="7F723669" w14:textId="0D16AA17" w:rsidR="00ED5FF1" w:rsidRPr="00483DC7" w:rsidRDefault="00ED5FF1" w:rsidP="00216258">
      <w:pPr>
        <w:spacing w:line="276" w:lineRule="auto"/>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Indiferent de modul de gestionare, acțiunile întreprinse inițiază procese ce favorizează dezvoltarea și atingerea obiectivelor stabilite, contribuind la progresul durabil și îmbunătățirea rezultatelor în domeniile specifice de activitate a</w:t>
      </w:r>
      <w:r w:rsidR="00C624F9">
        <w:rPr>
          <w:rFonts w:ascii="Times New Roman" w:hAnsi="Times New Roman" w:cs="Times New Roman"/>
          <w:sz w:val="24"/>
          <w:szCs w:val="24"/>
          <w:lang w:val="ro-MD"/>
        </w:rPr>
        <w:t>le</w:t>
      </w:r>
      <w:r w:rsidRPr="00483DC7">
        <w:rPr>
          <w:rFonts w:ascii="Times New Roman" w:hAnsi="Times New Roman" w:cs="Times New Roman"/>
          <w:sz w:val="24"/>
          <w:szCs w:val="24"/>
          <w:lang w:val="ro-MD"/>
        </w:rPr>
        <w:t xml:space="preserve"> unităților</w:t>
      </w:r>
      <w:r w:rsidR="008814F7" w:rsidRPr="00483DC7">
        <w:rPr>
          <w:rFonts w:ascii="Times New Roman" w:hAnsi="Times New Roman" w:cs="Times New Roman"/>
          <w:sz w:val="24"/>
          <w:szCs w:val="24"/>
          <w:lang w:val="ro-MD"/>
        </w:rPr>
        <w:t>, dar</w:t>
      </w:r>
      <w:r w:rsidR="00241F58" w:rsidRPr="00483DC7">
        <w:rPr>
          <w:rFonts w:ascii="Times New Roman" w:hAnsi="Times New Roman" w:cs="Times New Roman"/>
          <w:sz w:val="24"/>
          <w:szCs w:val="24"/>
          <w:lang w:val="ro-MD"/>
        </w:rPr>
        <w:t xml:space="preserve"> care</w:t>
      </w:r>
      <w:r w:rsidR="008814F7" w:rsidRPr="00483DC7">
        <w:rPr>
          <w:rFonts w:ascii="Times New Roman" w:hAnsi="Times New Roman" w:cs="Times New Roman"/>
          <w:sz w:val="24"/>
          <w:szCs w:val="24"/>
          <w:lang w:val="ro-MD"/>
        </w:rPr>
        <w:t>,</w:t>
      </w:r>
      <w:r w:rsidR="00241F58" w:rsidRPr="00483DC7">
        <w:rPr>
          <w:rFonts w:ascii="Times New Roman" w:hAnsi="Times New Roman" w:cs="Times New Roman"/>
          <w:sz w:val="24"/>
          <w:szCs w:val="24"/>
          <w:lang w:val="ro-MD"/>
        </w:rPr>
        <w:t xml:space="preserve"> totodată,</w:t>
      </w:r>
      <w:r w:rsidR="008814F7" w:rsidRPr="00483DC7">
        <w:rPr>
          <w:rFonts w:ascii="Times New Roman" w:hAnsi="Times New Roman" w:cs="Times New Roman"/>
          <w:sz w:val="24"/>
          <w:szCs w:val="24"/>
          <w:lang w:val="ro-MD"/>
        </w:rPr>
        <w:t xml:space="preserve"> necesită eforturi conjugate a</w:t>
      </w:r>
      <w:r w:rsidR="00C624F9">
        <w:rPr>
          <w:rFonts w:ascii="Times New Roman" w:hAnsi="Times New Roman" w:cs="Times New Roman"/>
          <w:sz w:val="24"/>
          <w:szCs w:val="24"/>
          <w:lang w:val="ro-MD"/>
        </w:rPr>
        <w:t>le</w:t>
      </w:r>
      <w:r w:rsidR="008814F7" w:rsidRPr="00483DC7">
        <w:rPr>
          <w:rFonts w:ascii="Times New Roman" w:hAnsi="Times New Roman" w:cs="Times New Roman"/>
          <w:sz w:val="24"/>
          <w:szCs w:val="24"/>
          <w:lang w:val="ro-MD"/>
        </w:rPr>
        <w:t xml:space="preserve"> tuturor părților interesate în vederea consolidării capacității UIPFAE</w:t>
      </w:r>
      <w:r w:rsidR="00241F58" w:rsidRPr="00483DC7">
        <w:rPr>
          <w:rFonts w:ascii="Times New Roman" w:hAnsi="Times New Roman" w:cs="Times New Roman"/>
          <w:sz w:val="24"/>
          <w:szCs w:val="24"/>
          <w:lang w:val="ro-MD"/>
        </w:rPr>
        <w:t>,</w:t>
      </w:r>
      <w:r w:rsidR="008814F7" w:rsidRPr="00483DC7">
        <w:rPr>
          <w:rFonts w:ascii="Times New Roman" w:hAnsi="Times New Roman" w:cs="Times New Roman"/>
          <w:sz w:val="24"/>
          <w:szCs w:val="24"/>
          <w:lang w:val="ro-MD"/>
        </w:rPr>
        <w:t xml:space="preserve"> precum și a proceselor </w:t>
      </w:r>
      <w:r w:rsidR="00C624F9">
        <w:rPr>
          <w:rFonts w:ascii="Times New Roman" w:hAnsi="Times New Roman" w:cs="Times New Roman"/>
          <w:sz w:val="24"/>
          <w:szCs w:val="24"/>
          <w:lang w:val="ro-MD"/>
        </w:rPr>
        <w:t>de</w:t>
      </w:r>
      <w:r w:rsidR="008814F7" w:rsidRPr="00483DC7">
        <w:rPr>
          <w:rFonts w:ascii="Times New Roman" w:hAnsi="Times New Roman" w:cs="Times New Roman"/>
          <w:sz w:val="24"/>
          <w:szCs w:val="24"/>
          <w:lang w:val="ro-MD"/>
        </w:rPr>
        <w:t xml:space="preserve"> raportare, monitorizare și controlul activității acestora. </w:t>
      </w:r>
    </w:p>
    <w:p w14:paraId="5B9E4E0F" w14:textId="77777777" w:rsidR="007460B1" w:rsidRPr="00483DC7" w:rsidRDefault="007460B1" w:rsidP="00ED5FF1">
      <w:pPr>
        <w:rPr>
          <w:lang w:val="ro-MD"/>
        </w:rPr>
      </w:pPr>
      <w:r w:rsidRPr="00483DC7">
        <w:rPr>
          <w:lang w:val="ro-MD"/>
        </w:rPr>
        <w:br w:type="page"/>
      </w:r>
    </w:p>
    <w:p w14:paraId="63256F49" w14:textId="77777777" w:rsidR="007460B1" w:rsidRPr="00483DC7" w:rsidRDefault="007460B1" w:rsidP="007460B1">
      <w:pPr>
        <w:pStyle w:val="Heading1"/>
        <w:jc w:val="center"/>
        <w:rPr>
          <w:rFonts w:ascii="Times New Roman" w:hAnsi="Times New Roman" w:cs="Times New Roman"/>
          <w:b/>
          <w:color w:val="auto"/>
          <w:sz w:val="24"/>
          <w:szCs w:val="24"/>
          <w:lang w:val="ro-MD"/>
        </w:rPr>
      </w:pPr>
      <w:bookmarkStart w:id="21" w:name="_Toc185943222"/>
      <w:r w:rsidRPr="00483DC7">
        <w:rPr>
          <w:rFonts w:ascii="Times New Roman" w:hAnsi="Times New Roman" w:cs="Times New Roman"/>
          <w:b/>
          <w:color w:val="auto"/>
          <w:sz w:val="24"/>
          <w:szCs w:val="24"/>
          <w:lang w:val="ro-MD"/>
        </w:rPr>
        <w:lastRenderedPageBreak/>
        <w:t>VI. RECOMANDĂRI</w:t>
      </w:r>
      <w:bookmarkEnd w:id="21"/>
    </w:p>
    <w:p w14:paraId="2E2B3B8E" w14:textId="4F50C5A4" w:rsidR="007460B1" w:rsidRPr="00483DC7" w:rsidRDefault="007460B1" w:rsidP="00705001">
      <w:pPr>
        <w:pStyle w:val="ListParagraph"/>
        <w:numPr>
          <w:ilvl w:val="0"/>
          <w:numId w:val="3"/>
        </w:numPr>
        <w:spacing w:after="0" w:line="276" w:lineRule="auto"/>
        <w:ind w:left="0" w:firstLine="426"/>
        <w:jc w:val="both"/>
        <w:rPr>
          <w:rFonts w:ascii="Times New Roman" w:hAnsi="Times New Roman" w:cs="Times New Roman"/>
          <w:sz w:val="24"/>
          <w:szCs w:val="24"/>
          <w:lang w:val="ro-MD"/>
        </w:rPr>
      </w:pPr>
      <w:r w:rsidRPr="00483DC7">
        <w:rPr>
          <w:rFonts w:ascii="Times New Roman" w:hAnsi="Times New Roman" w:cs="Times New Roman"/>
          <w:b/>
          <w:sz w:val="24"/>
          <w:szCs w:val="24"/>
          <w:lang w:val="ro-MD"/>
        </w:rPr>
        <w:t>Cancelariei de Stat</w:t>
      </w:r>
      <w:r w:rsidR="009B5E37">
        <w:rPr>
          <w:rFonts w:ascii="Times New Roman" w:hAnsi="Times New Roman" w:cs="Times New Roman"/>
          <w:b/>
          <w:sz w:val="24"/>
          <w:szCs w:val="24"/>
          <w:lang w:val="ro-MD"/>
        </w:rPr>
        <w:t xml:space="preserve">, </w:t>
      </w:r>
      <w:r w:rsidR="009B5E37">
        <w:rPr>
          <w:rFonts w:ascii="Times New Roman" w:hAnsi="Times New Roman" w:cs="Times New Roman"/>
          <w:sz w:val="24"/>
          <w:szCs w:val="24"/>
          <w:lang w:val="ro-MD"/>
        </w:rPr>
        <w:t>să asigure revizuirea actelor de constituire a UIPFAE în vederea elaborării și/sau unificării prevederilor privind</w:t>
      </w:r>
      <w:r w:rsidRPr="00483DC7">
        <w:rPr>
          <w:rFonts w:ascii="Times New Roman" w:hAnsi="Times New Roman" w:cs="Times New Roman"/>
          <w:sz w:val="24"/>
          <w:szCs w:val="24"/>
          <w:lang w:val="ro-MD"/>
        </w:rPr>
        <w:t>:</w:t>
      </w:r>
    </w:p>
    <w:p w14:paraId="4B988FFA" w14:textId="4DF2BDAD" w:rsidR="007460B1" w:rsidRPr="00483DC7" w:rsidRDefault="007460B1" w:rsidP="007460B1">
      <w:pPr>
        <w:pStyle w:val="ListParagraph"/>
        <w:numPr>
          <w:ilvl w:val="1"/>
          <w:numId w:val="3"/>
        </w:numPr>
        <w:spacing w:before="240" w:after="0" w:line="276" w:lineRule="auto"/>
        <w:ind w:left="426"/>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form</w:t>
      </w:r>
      <w:r w:rsidR="009B5E37">
        <w:rPr>
          <w:rFonts w:ascii="Times New Roman" w:hAnsi="Times New Roman" w:cs="Times New Roman"/>
          <w:sz w:val="24"/>
          <w:szCs w:val="24"/>
          <w:lang w:val="ro-MD"/>
        </w:rPr>
        <w:t>a</w:t>
      </w:r>
      <w:r w:rsidRPr="00483DC7">
        <w:rPr>
          <w:rFonts w:ascii="Times New Roman" w:hAnsi="Times New Roman" w:cs="Times New Roman"/>
          <w:sz w:val="24"/>
          <w:szCs w:val="24"/>
          <w:lang w:val="ro-MD"/>
        </w:rPr>
        <w:t xml:space="preserve"> organizatorico-juridic</w:t>
      </w:r>
      <w:r w:rsidR="009B5E37">
        <w:rPr>
          <w:rFonts w:ascii="Times New Roman" w:hAnsi="Times New Roman" w:cs="Times New Roman"/>
          <w:sz w:val="24"/>
          <w:szCs w:val="24"/>
          <w:lang w:val="ro-MD"/>
        </w:rPr>
        <w:t>ă a UIPFAE, care urmează a fi aliniată</w:t>
      </w:r>
      <w:r w:rsidRPr="00483DC7">
        <w:rPr>
          <w:rFonts w:ascii="Times New Roman" w:hAnsi="Times New Roman" w:cs="Times New Roman"/>
          <w:sz w:val="24"/>
          <w:szCs w:val="24"/>
          <w:lang w:val="ro-MD"/>
        </w:rPr>
        <w:t xml:space="preserve"> la mandatul, scopul și obiectivele stabilite pentru acestea (c.1.1.1);</w:t>
      </w:r>
    </w:p>
    <w:p w14:paraId="36D8380C" w14:textId="160A6DE9" w:rsidR="007460B1" w:rsidRPr="00483DC7" w:rsidRDefault="009B5E37" w:rsidP="009B5E37">
      <w:pPr>
        <w:pStyle w:val="ListParagraph"/>
        <w:numPr>
          <w:ilvl w:val="1"/>
          <w:numId w:val="3"/>
        </w:numPr>
        <w:spacing w:before="240" w:after="0" w:line="276" w:lineRule="auto"/>
        <w:ind w:left="426"/>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atribuțiile și drepturile ministerelor de ramură, în calitate de fondatori ai UIPFAE, cu reglementarea unor criterii clare de interacțiune și control între acestea </w:t>
      </w:r>
      <w:r w:rsidR="007460B1" w:rsidRPr="00483DC7">
        <w:rPr>
          <w:rFonts w:ascii="Times New Roman" w:hAnsi="Times New Roman" w:cs="Times New Roman"/>
          <w:sz w:val="24"/>
          <w:szCs w:val="24"/>
          <w:lang w:val="ro-MD"/>
        </w:rPr>
        <w:t>(c.1.1.2);</w:t>
      </w:r>
    </w:p>
    <w:p w14:paraId="1FEAF01D" w14:textId="54AC28FD" w:rsidR="007460B1" w:rsidRPr="00483DC7" w:rsidRDefault="009B5E37" w:rsidP="009B5E37">
      <w:pPr>
        <w:pStyle w:val="ListParagraph"/>
        <w:numPr>
          <w:ilvl w:val="1"/>
          <w:numId w:val="3"/>
        </w:numPr>
        <w:spacing w:before="240" w:after="0" w:line="276" w:lineRule="auto"/>
        <w:ind w:left="426"/>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selectarea și numirea membrilor organelor colegiale de supraveghere a UIPFAE, stabilirea clară a competențelor, obiectivelor, sarcinilor precum și a sancțiunilor pentru neexecutarea atribuțiilor de către membrii acestor organe colegiale </w:t>
      </w:r>
      <w:r w:rsidR="007460B1" w:rsidRPr="00483DC7">
        <w:rPr>
          <w:rFonts w:ascii="Times New Roman" w:hAnsi="Times New Roman" w:cs="Times New Roman"/>
          <w:sz w:val="24"/>
          <w:szCs w:val="24"/>
          <w:lang w:val="ro-MD"/>
        </w:rPr>
        <w:t>(c.1.1.3);</w:t>
      </w:r>
    </w:p>
    <w:p w14:paraId="130A5484" w14:textId="1D1DAD8B" w:rsidR="007460B1" w:rsidRPr="00483DC7" w:rsidRDefault="007460B1" w:rsidP="007460B1">
      <w:pPr>
        <w:pStyle w:val="ListParagraph"/>
        <w:numPr>
          <w:ilvl w:val="1"/>
          <w:numId w:val="3"/>
        </w:numPr>
        <w:spacing w:before="240" w:after="0" w:line="276" w:lineRule="auto"/>
        <w:ind w:left="426"/>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numirea și </w:t>
      </w:r>
      <w:r w:rsidR="009B5E37">
        <w:rPr>
          <w:rFonts w:ascii="Times New Roman" w:hAnsi="Times New Roman" w:cs="Times New Roman"/>
          <w:sz w:val="24"/>
          <w:szCs w:val="24"/>
          <w:lang w:val="ro-MD"/>
        </w:rPr>
        <w:t xml:space="preserve">durata </w:t>
      </w:r>
      <w:r w:rsidRPr="00483DC7">
        <w:rPr>
          <w:rFonts w:ascii="Times New Roman" w:hAnsi="Times New Roman" w:cs="Times New Roman"/>
          <w:sz w:val="24"/>
          <w:szCs w:val="24"/>
          <w:lang w:val="ro-MD"/>
        </w:rPr>
        <w:t>mandatul</w:t>
      </w:r>
      <w:r w:rsidR="009B5E37">
        <w:rPr>
          <w:rFonts w:ascii="Times New Roman" w:hAnsi="Times New Roman" w:cs="Times New Roman"/>
          <w:sz w:val="24"/>
          <w:szCs w:val="24"/>
          <w:lang w:val="ro-MD"/>
        </w:rPr>
        <w:t>ui</w:t>
      </w:r>
      <w:r w:rsidRPr="00483DC7">
        <w:rPr>
          <w:rFonts w:ascii="Times New Roman" w:hAnsi="Times New Roman" w:cs="Times New Roman"/>
          <w:sz w:val="24"/>
          <w:szCs w:val="24"/>
          <w:lang w:val="ro-MD"/>
        </w:rPr>
        <w:t xml:space="preserve"> Directorilor UIPFAE (c.1.1.4);</w:t>
      </w:r>
    </w:p>
    <w:p w14:paraId="0E59067A" w14:textId="1B921231" w:rsidR="007460B1" w:rsidRPr="00483DC7" w:rsidRDefault="009B5E37" w:rsidP="007460B1">
      <w:pPr>
        <w:pStyle w:val="ListParagraph"/>
        <w:numPr>
          <w:ilvl w:val="1"/>
          <w:numId w:val="3"/>
        </w:numPr>
        <w:spacing w:before="240" w:after="0" w:line="276" w:lineRule="auto"/>
        <w:ind w:left="426"/>
        <w:jc w:val="both"/>
        <w:rPr>
          <w:rFonts w:ascii="Times New Roman" w:hAnsi="Times New Roman" w:cs="Times New Roman"/>
          <w:sz w:val="24"/>
          <w:szCs w:val="24"/>
          <w:lang w:val="ro-MD"/>
        </w:rPr>
      </w:pPr>
      <w:r>
        <w:rPr>
          <w:rFonts w:ascii="Times New Roman" w:hAnsi="Times New Roman" w:cs="Times New Roman"/>
          <w:sz w:val="24"/>
          <w:szCs w:val="24"/>
          <w:lang w:val="ro-MD"/>
        </w:rPr>
        <w:t>reglementarea</w:t>
      </w:r>
      <w:r w:rsidR="007460B1" w:rsidRPr="00483DC7">
        <w:rPr>
          <w:rFonts w:ascii="Times New Roman" w:hAnsi="Times New Roman" w:cs="Times New Roman"/>
          <w:sz w:val="24"/>
          <w:szCs w:val="24"/>
          <w:lang w:val="ro-MD"/>
        </w:rPr>
        <w:t xml:space="preserve"> unor reguli</w:t>
      </w:r>
      <w:r>
        <w:rPr>
          <w:rFonts w:ascii="Times New Roman" w:hAnsi="Times New Roman" w:cs="Times New Roman"/>
          <w:sz w:val="24"/>
          <w:szCs w:val="24"/>
          <w:lang w:val="ro-MD"/>
        </w:rPr>
        <w:t>/criterii</w:t>
      </w:r>
      <w:r w:rsidR="007460B1" w:rsidRPr="00483DC7">
        <w:rPr>
          <w:rFonts w:ascii="Times New Roman" w:hAnsi="Times New Roman" w:cs="Times New Roman"/>
          <w:sz w:val="24"/>
          <w:szCs w:val="24"/>
          <w:lang w:val="ro-MD"/>
        </w:rPr>
        <w:t xml:space="preserve"> clare de evaluare și monitorizare a activității UIPFAE (c.1.2.1, c.1.2.2 și c.1.2.3.);</w:t>
      </w:r>
    </w:p>
    <w:p w14:paraId="085A247B" w14:textId="77777777" w:rsidR="007460B1" w:rsidRPr="00483DC7" w:rsidRDefault="007460B1" w:rsidP="007460B1">
      <w:pPr>
        <w:pStyle w:val="ListParagraph"/>
        <w:spacing w:before="240" w:after="0" w:line="276" w:lineRule="auto"/>
        <w:ind w:left="426"/>
        <w:jc w:val="both"/>
        <w:rPr>
          <w:rFonts w:ascii="Times New Roman" w:hAnsi="Times New Roman" w:cs="Times New Roman"/>
          <w:sz w:val="24"/>
          <w:szCs w:val="24"/>
          <w:lang w:val="ro-MD"/>
        </w:rPr>
      </w:pPr>
    </w:p>
    <w:p w14:paraId="053631F8" w14:textId="71FECB6D" w:rsidR="007460B1" w:rsidRPr="0079126F" w:rsidRDefault="009B5E37" w:rsidP="007460B1">
      <w:pPr>
        <w:pStyle w:val="ListParagraph"/>
        <w:numPr>
          <w:ilvl w:val="0"/>
          <w:numId w:val="3"/>
        </w:numPr>
        <w:spacing w:after="0" w:line="276" w:lineRule="auto"/>
        <w:ind w:left="0" w:firstLine="426"/>
        <w:jc w:val="both"/>
        <w:rPr>
          <w:rFonts w:ascii="Times New Roman" w:hAnsi="Times New Roman" w:cs="Times New Roman"/>
          <w:sz w:val="24"/>
          <w:szCs w:val="24"/>
          <w:lang w:val="ro-MD"/>
        </w:rPr>
      </w:pPr>
      <w:r>
        <w:rPr>
          <w:rFonts w:ascii="Times New Roman" w:hAnsi="Times New Roman" w:cs="Times New Roman"/>
          <w:b/>
          <w:sz w:val="24"/>
          <w:szCs w:val="24"/>
          <w:lang w:val="ro-MD"/>
        </w:rPr>
        <w:t>Cancelariei</w:t>
      </w:r>
      <w:r w:rsidR="0095624A" w:rsidRPr="00483DC7">
        <w:rPr>
          <w:rFonts w:ascii="Times New Roman" w:hAnsi="Times New Roman" w:cs="Times New Roman"/>
          <w:b/>
          <w:sz w:val="24"/>
          <w:szCs w:val="24"/>
          <w:lang w:val="ro-MD"/>
        </w:rPr>
        <w:t xml:space="preserve"> de Stat</w:t>
      </w:r>
      <w:r>
        <w:rPr>
          <w:rFonts w:ascii="Times New Roman" w:hAnsi="Times New Roman" w:cs="Times New Roman"/>
          <w:b/>
          <w:sz w:val="24"/>
          <w:szCs w:val="24"/>
          <w:lang w:val="ro-MD"/>
        </w:rPr>
        <w:t xml:space="preserve"> de comun cu Ministerul Finanțelor, în cadrul elaborării, avizării și promovării proiectului Legii </w:t>
      </w:r>
      <w:r w:rsidR="0079126F">
        <w:rPr>
          <w:rFonts w:ascii="Times New Roman" w:hAnsi="Times New Roman" w:cs="Times New Roman"/>
          <w:b/>
          <w:sz w:val="24"/>
          <w:szCs w:val="24"/>
          <w:lang w:val="ro-MD"/>
        </w:rPr>
        <w:t xml:space="preserve">privind instituțiile publice, </w:t>
      </w:r>
      <w:r w:rsidR="0079126F" w:rsidRPr="0079126F">
        <w:rPr>
          <w:rFonts w:ascii="Times New Roman" w:hAnsi="Times New Roman" w:cs="Times New Roman"/>
          <w:sz w:val="24"/>
          <w:szCs w:val="24"/>
          <w:lang w:val="ro-MD"/>
        </w:rPr>
        <w:t>să asigure</w:t>
      </w:r>
      <w:r w:rsidR="007460B1" w:rsidRPr="0079126F">
        <w:rPr>
          <w:rFonts w:ascii="Times New Roman" w:hAnsi="Times New Roman" w:cs="Times New Roman"/>
          <w:sz w:val="24"/>
          <w:szCs w:val="24"/>
          <w:lang w:val="ro-MD"/>
        </w:rPr>
        <w:t>:</w:t>
      </w:r>
    </w:p>
    <w:p w14:paraId="18389A68" w14:textId="1E119565" w:rsidR="0079126F" w:rsidRPr="0079126F" w:rsidRDefault="0079126F" w:rsidP="007460B1">
      <w:pPr>
        <w:pStyle w:val="ListParagraph"/>
        <w:numPr>
          <w:ilvl w:val="1"/>
          <w:numId w:val="3"/>
        </w:numPr>
        <w:spacing w:after="0" w:line="276" w:lineRule="auto"/>
        <w:ind w:left="426"/>
        <w:jc w:val="both"/>
        <w:rPr>
          <w:rFonts w:ascii="Times New Roman" w:hAnsi="Times New Roman" w:cs="Times New Roman"/>
          <w:b/>
          <w:sz w:val="24"/>
          <w:szCs w:val="24"/>
          <w:lang w:val="ro-MD"/>
        </w:rPr>
      </w:pPr>
      <w:r>
        <w:rPr>
          <w:rFonts w:ascii="Times New Roman" w:hAnsi="Times New Roman" w:cs="Times New Roman"/>
          <w:sz w:val="24"/>
          <w:szCs w:val="24"/>
          <w:lang w:val="ro-MD"/>
        </w:rPr>
        <w:t>reglementarea exhaustivă a modului de finanțare, de ținere a evidenței contabile și de raportare financiară a activității UIPFAE, care ar fi în corelare cu forma organizatorico-juridică a UIPFAE;</w:t>
      </w:r>
    </w:p>
    <w:p w14:paraId="09912E31" w14:textId="54156908" w:rsidR="007460B1" w:rsidRPr="00483DC7" w:rsidRDefault="0079126F" w:rsidP="007460B1">
      <w:pPr>
        <w:pStyle w:val="ListParagraph"/>
        <w:numPr>
          <w:ilvl w:val="1"/>
          <w:numId w:val="3"/>
        </w:numPr>
        <w:spacing w:after="0" w:line="276" w:lineRule="auto"/>
        <w:ind w:left="426"/>
        <w:jc w:val="both"/>
        <w:rPr>
          <w:rFonts w:ascii="Times New Roman" w:hAnsi="Times New Roman" w:cs="Times New Roman"/>
          <w:sz w:val="24"/>
          <w:szCs w:val="24"/>
          <w:lang w:val="ro-MD"/>
        </w:rPr>
      </w:pPr>
      <w:r>
        <w:rPr>
          <w:rFonts w:ascii="Times New Roman" w:hAnsi="Times New Roman" w:cs="Times New Roman"/>
          <w:sz w:val="24"/>
          <w:szCs w:val="24"/>
          <w:lang w:val="ro-MD"/>
        </w:rPr>
        <w:t>reglementarea modului</w:t>
      </w:r>
      <w:r w:rsidR="007460B1" w:rsidRPr="00483DC7">
        <w:rPr>
          <w:rFonts w:ascii="Times New Roman" w:hAnsi="Times New Roman" w:cs="Times New Roman"/>
          <w:sz w:val="24"/>
          <w:szCs w:val="24"/>
          <w:lang w:val="ro-MD"/>
        </w:rPr>
        <w:t xml:space="preserve"> de evidență și </w:t>
      </w:r>
      <w:r>
        <w:rPr>
          <w:rFonts w:ascii="Times New Roman" w:hAnsi="Times New Roman" w:cs="Times New Roman"/>
          <w:sz w:val="24"/>
          <w:szCs w:val="24"/>
          <w:lang w:val="ro-MD"/>
        </w:rPr>
        <w:t xml:space="preserve">de </w:t>
      </w:r>
      <w:r w:rsidR="007460B1" w:rsidRPr="00483DC7">
        <w:rPr>
          <w:rFonts w:ascii="Times New Roman" w:hAnsi="Times New Roman" w:cs="Times New Roman"/>
          <w:sz w:val="24"/>
          <w:szCs w:val="24"/>
          <w:lang w:val="ro-MD"/>
        </w:rPr>
        <w:t xml:space="preserve">salarizare a personalului UIPFAE, </w:t>
      </w:r>
      <w:r>
        <w:rPr>
          <w:rFonts w:ascii="Times New Roman" w:hAnsi="Times New Roman" w:cs="Times New Roman"/>
          <w:sz w:val="24"/>
          <w:szCs w:val="24"/>
          <w:lang w:val="ro-MD"/>
        </w:rPr>
        <w:t>care ar fi în corelare cu</w:t>
      </w:r>
      <w:r w:rsidR="007460B1" w:rsidRPr="00483DC7">
        <w:rPr>
          <w:rFonts w:ascii="Times New Roman" w:hAnsi="Times New Roman" w:cs="Times New Roman"/>
          <w:sz w:val="24"/>
          <w:szCs w:val="24"/>
          <w:lang w:val="ro-MD"/>
        </w:rPr>
        <w:t xml:space="preserve"> forma organizatorico-juridică a UIPFAE (c.2.1.2);</w:t>
      </w:r>
    </w:p>
    <w:p w14:paraId="21A5C70C" w14:textId="77777777" w:rsidR="007460B1" w:rsidRPr="00483DC7" w:rsidRDefault="007460B1" w:rsidP="007460B1">
      <w:pPr>
        <w:pStyle w:val="ListParagraph"/>
        <w:spacing w:after="0" w:line="276" w:lineRule="auto"/>
        <w:ind w:left="426"/>
        <w:jc w:val="both"/>
        <w:rPr>
          <w:rFonts w:ascii="Times New Roman" w:hAnsi="Times New Roman" w:cs="Times New Roman"/>
          <w:b/>
          <w:sz w:val="24"/>
          <w:szCs w:val="24"/>
          <w:lang w:val="ro-MD"/>
        </w:rPr>
      </w:pPr>
    </w:p>
    <w:p w14:paraId="6FD1E881" w14:textId="161A5D1E" w:rsidR="007460B1" w:rsidRPr="00483DC7" w:rsidRDefault="009B5E37" w:rsidP="009B5E37">
      <w:pPr>
        <w:pStyle w:val="ListParagraph"/>
        <w:numPr>
          <w:ilvl w:val="0"/>
          <w:numId w:val="3"/>
        </w:numPr>
        <w:spacing w:after="0" w:line="276" w:lineRule="auto"/>
        <w:ind w:left="0" w:firstLine="426"/>
        <w:jc w:val="both"/>
        <w:rPr>
          <w:rFonts w:ascii="Times New Roman" w:hAnsi="Times New Roman" w:cs="Times New Roman"/>
          <w:b/>
          <w:sz w:val="24"/>
          <w:szCs w:val="24"/>
          <w:lang w:val="ro-MD"/>
        </w:rPr>
      </w:pPr>
      <w:r>
        <w:rPr>
          <w:rFonts w:ascii="Times New Roman" w:hAnsi="Times New Roman" w:cs="Times New Roman"/>
          <w:b/>
          <w:sz w:val="24"/>
          <w:szCs w:val="24"/>
          <w:lang w:val="ro-MD"/>
        </w:rPr>
        <w:t>Ministerului Finanțelor, Ministerului Agriculturii și Industriei Alimentare, Ministerului Infrastructurii și Dezvoltării Regionale, Ministerului Energiei, Ministerului Justiției, Ministerului Dezvoltării Economice și Digitalizării, Ministerului Sănătății și Ministerului Mediului</w:t>
      </w:r>
      <w:r>
        <w:rPr>
          <w:rFonts w:ascii="Times New Roman" w:hAnsi="Times New Roman" w:cs="Times New Roman"/>
          <w:sz w:val="24"/>
          <w:szCs w:val="24"/>
          <w:lang w:val="ro-MD"/>
        </w:rPr>
        <w:t xml:space="preserve">, </w:t>
      </w:r>
      <w:r w:rsidR="007460B1" w:rsidRPr="00483DC7">
        <w:rPr>
          <w:rFonts w:ascii="Times New Roman" w:hAnsi="Times New Roman" w:cs="Times New Roman"/>
          <w:sz w:val="24"/>
          <w:szCs w:val="24"/>
          <w:lang w:val="ro-MD"/>
        </w:rPr>
        <w:t>în calitate de fondatori ai unităților de implementare a proiectelor finanțate din surse externe, să asigure revizuirea și ajustarea sistemelor de management și control ale instituțiilor publice subordonate, în vederea fortificării activităților de control aferente:</w:t>
      </w:r>
    </w:p>
    <w:p w14:paraId="62D19233" w14:textId="77777777" w:rsidR="007460B1" w:rsidRPr="00483DC7" w:rsidRDefault="007460B1" w:rsidP="007460B1">
      <w:pPr>
        <w:pStyle w:val="ListParagraph"/>
        <w:numPr>
          <w:ilvl w:val="1"/>
          <w:numId w:val="3"/>
        </w:numPr>
        <w:spacing w:after="0" w:line="276" w:lineRule="auto"/>
        <w:ind w:left="426"/>
        <w:jc w:val="both"/>
        <w:rPr>
          <w:rFonts w:ascii="Times New Roman" w:hAnsi="Times New Roman" w:cs="Times New Roman"/>
          <w:b/>
          <w:sz w:val="24"/>
          <w:szCs w:val="24"/>
          <w:lang w:val="ro-MD"/>
        </w:rPr>
      </w:pPr>
      <w:r w:rsidRPr="00483DC7">
        <w:rPr>
          <w:rFonts w:ascii="Times New Roman" w:hAnsi="Times New Roman" w:cs="Times New Roman"/>
          <w:sz w:val="24"/>
          <w:szCs w:val="24"/>
          <w:lang w:val="ro-MD"/>
        </w:rPr>
        <w:t>procedurilor de selectare și numire a personalului UIPFAE pe criterii meritocratice, conform principiului transparenței și competitivității deschise (c.2.1.2);</w:t>
      </w:r>
    </w:p>
    <w:p w14:paraId="1CE299C1" w14:textId="2A67E6F4" w:rsidR="007460B1" w:rsidRPr="00483DC7" w:rsidRDefault="0079126F" w:rsidP="007460B1">
      <w:pPr>
        <w:pStyle w:val="ListParagraph"/>
        <w:numPr>
          <w:ilvl w:val="1"/>
          <w:numId w:val="3"/>
        </w:numPr>
        <w:spacing w:after="0" w:line="276" w:lineRule="auto"/>
        <w:ind w:left="426"/>
        <w:jc w:val="both"/>
        <w:rPr>
          <w:rFonts w:ascii="Times New Roman" w:hAnsi="Times New Roman" w:cs="Times New Roman"/>
          <w:b/>
          <w:sz w:val="24"/>
          <w:szCs w:val="24"/>
          <w:lang w:val="ro-MD"/>
        </w:rPr>
      </w:pPr>
      <w:r>
        <w:rPr>
          <w:rFonts w:ascii="Times New Roman" w:hAnsi="Times New Roman" w:cs="Times New Roman"/>
          <w:sz w:val="24"/>
          <w:szCs w:val="24"/>
          <w:lang w:val="ro-MD"/>
        </w:rPr>
        <w:t>evaluării</w:t>
      </w:r>
      <w:r w:rsidR="007460B1" w:rsidRPr="00483DC7">
        <w:rPr>
          <w:rFonts w:ascii="Times New Roman" w:hAnsi="Times New Roman" w:cs="Times New Roman"/>
          <w:sz w:val="24"/>
          <w:szCs w:val="24"/>
          <w:lang w:val="ro-MD"/>
        </w:rPr>
        <w:t xml:space="preserve"> impactului rezultatelor obținute </w:t>
      </w:r>
      <w:r>
        <w:rPr>
          <w:rFonts w:ascii="Times New Roman" w:hAnsi="Times New Roman" w:cs="Times New Roman"/>
          <w:sz w:val="24"/>
          <w:szCs w:val="24"/>
          <w:lang w:val="ro-MD"/>
        </w:rPr>
        <w:t>de către UIPFAE (c.2.2.1-2.2.2).</w:t>
      </w:r>
    </w:p>
    <w:p w14:paraId="3C3131D1" w14:textId="77777777" w:rsidR="00705001" w:rsidRPr="00483DC7" w:rsidRDefault="00705001" w:rsidP="00705001">
      <w:pPr>
        <w:pStyle w:val="Heading1"/>
        <w:spacing w:after="240" w:line="276" w:lineRule="auto"/>
        <w:jc w:val="center"/>
        <w:rPr>
          <w:rFonts w:ascii="Times New Roman" w:hAnsi="Times New Roman" w:cs="Times New Roman"/>
          <w:b/>
          <w:bCs/>
          <w:color w:val="000000" w:themeColor="text1"/>
          <w:sz w:val="24"/>
          <w:szCs w:val="24"/>
          <w:lang w:val="ro-MD"/>
        </w:rPr>
      </w:pPr>
      <w:bookmarkStart w:id="22" w:name="_Toc163058238"/>
      <w:bookmarkStart w:id="23" w:name="_Toc164855845"/>
      <w:bookmarkStart w:id="24" w:name="_Toc164952980"/>
      <w:bookmarkStart w:id="25" w:name="_Toc185943223"/>
      <w:r w:rsidRPr="00483DC7">
        <w:rPr>
          <w:rFonts w:ascii="Times New Roman" w:hAnsi="Times New Roman" w:cs="Times New Roman"/>
          <w:b/>
          <w:bCs/>
          <w:color w:val="000000" w:themeColor="text1"/>
          <w:sz w:val="24"/>
          <w:szCs w:val="24"/>
          <w:lang w:val="ro-MD"/>
        </w:rPr>
        <w:t>VII. SEMNĂTURILE ECHIPEI  MISIUNII</w:t>
      </w:r>
      <w:bookmarkEnd w:id="22"/>
      <w:bookmarkEnd w:id="23"/>
      <w:bookmarkEnd w:id="24"/>
      <w:bookmarkEnd w:id="25"/>
    </w:p>
    <w:tbl>
      <w:tblPr>
        <w:tblStyle w:val="TableGrid"/>
        <w:tblW w:w="9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3402"/>
        <w:gridCol w:w="3116"/>
      </w:tblGrid>
      <w:tr w:rsidR="00705001" w:rsidRPr="00483DC7" w14:paraId="152D3170" w14:textId="77777777" w:rsidTr="009215B9">
        <w:tc>
          <w:tcPr>
            <w:tcW w:w="2972" w:type="dxa"/>
          </w:tcPr>
          <w:p w14:paraId="4650FB50"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
                <w:iCs/>
                <w:color w:val="000000" w:themeColor="text1"/>
                <w:sz w:val="24"/>
                <w:szCs w:val="24"/>
                <w:lang w:val="ro-MD"/>
              </w:rPr>
            </w:pPr>
            <w:r w:rsidRPr="00483DC7">
              <w:rPr>
                <w:rFonts w:ascii="Times New Roman" w:eastAsia="Times New Roman" w:hAnsi="Times New Roman" w:cs="Times New Roman"/>
                <w:b/>
                <w:iCs/>
                <w:color w:val="000000" w:themeColor="text1"/>
                <w:sz w:val="24"/>
                <w:szCs w:val="24"/>
                <w:lang w:val="ro-MD"/>
              </w:rPr>
              <w:t>Șeful echipei:</w:t>
            </w:r>
          </w:p>
          <w:p w14:paraId="2BC6047B"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Lîsîi Alexandru __________</w:t>
            </w:r>
          </w:p>
        </w:tc>
        <w:tc>
          <w:tcPr>
            <w:tcW w:w="3402" w:type="dxa"/>
          </w:tcPr>
          <w:p w14:paraId="66A6A30C"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
                <w:iCs/>
                <w:color w:val="000000" w:themeColor="text1"/>
                <w:sz w:val="24"/>
                <w:szCs w:val="24"/>
                <w:lang w:val="ro-MD"/>
              </w:rPr>
            </w:pPr>
            <w:r w:rsidRPr="00483DC7">
              <w:rPr>
                <w:rFonts w:ascii="Times New Roman" w:eastAsia="Times New Roman" w:hAnsi="Times New Roman" w:cs="Times New Roman"/>
                <w:b/>
                <w:iCs/>
                <w:color w:val="000000" w:themeColor="text1"/>
                <w:sz w:val="24"/>
                <w:szCs w:val="24"/>
                <w:lang w:val="ro-MD"/>
              </w:rPr>
              <w:t>Membrii echipei:</w:t>
            </w:r>
          </w:p>
          <w:p w14:paraId="21C9DE53"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Verdeș Viorica ____________</w:t>
            </w:r>
          </w:p>
          <w:p w14:paraId="63CF1546"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Cataraga Marina  _______</w:t>
            </w:r>
            <w:r w:rsidR="009215B9" w:rsidRPr="00483DC7">
              <w:rPr>
                <w:rFonts w:ascii="Times New Roman" w:eastAsia="Times New Roman" w:hAnsi="Times New Roman" w:cs="Times New Roman"/>
                <w:bCs/>
                <w:iCs/>
                <w:color w:val="000000" w:themeColor="text1"/>
                <w:sz w:val="24"/>
                <w:szCs w:val="24"/>
                <w:lang w:val="ro-MD"/>
              </w:rPr>
              <w:t>_</w:t>
            </w:r>
            <w:r w:rsidRPr="00483DC7">
              <w:rPr>
                <w:rFonts w:ascii="Times New Roman" w:eastAsia="Times New Roman" w:hAnsi="Times New Roman" w:cs="Times New Roman"/>
                <w:bCs/>
                <w:iCs/>
                <w:color w:val="000000" w:themeColor="text1"/>
                <w:sz w:val="24"/>
                <w:szCs w:val="24"/>
                <w:lang w:val="ro-MD"/>
              </w:rPr>
              <w:t>___</w:t>
            </w:r>
          </w:p>
          <w:p w14:paraId="1A7018A4"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Petreanu Anatolie __________</w:t>
            </w:r>
          </w:p>
          <w:p w14:paraId="596E08DE"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Țîganaș Arina  _______</w:t>
            </w:r>
            <w:r w:rsidR="009215B9" w:rsidRPr="00483DC7">
              <w:rPr>
                <w:rFonts w:ascii="Times New Roman" w:eastAsia="Times New Roman" w:hAnsi="Times New Roman" w:cs="Times New Roman"/>
                <w:bCs/>
                <w:iCs/>
                <w:color w:val="000000" w:themeColor="text1"/>
                <w:sz w:val="24"/>
                <w:szCs w:val="24"/>
                <w:lang w:val="ro-MD"/>
              </w:rPr>
              <w:t>_</w:t>
            </w:r>
            <w:r w:rsidRPr="00483DC7">
              <w:rPr>
                <w:rFonts w:ascii="Times New Roman" w:eastAsia="Times New Roman" w:hAnsi="Times New Roman" w:cs="Times New Roman"/>
                <w:bCs/>
                <w:iCs/>
                <w:color w:val="000000" w:themeColor="text1"/>
                <w:sz w:val="24"/>
                <w:szCs w:val="24"/>
                <w:lang w:val="ro-MD"/>
              </w:rPr>
              <w:t>_____</w:t>
            </w:r>
          </w:p>
        </w:tc>
        <w:tc>
          <w:tcPr>
            <w:tcW w:w="3116" w:type="dxa"/>
          </w:tcPr>
          <w:p w14:paraId="6D571CD0"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
                <w:iCs/>
                <w:color w:val="000000" w:themeColor="text1"/>
                <w:sz w:val="24"/>
                <w:szCs w:val="24"/>
                <w:lang w:val="ro-MD"/>
              </w:rPr>
            </w:pPr>
            <w:r w:rsidRPr="00483DC7">
              <w:rPr>
                <w:rFonts w:ascii="Times New Roman" w:eastAsia="Times New Roman" w:hAnsi="Times New Roman" w:cs="Times New Roman"/>
                <w:b/>
                <w:iCs/>
                <w:color w:val="000000" w:themeColor="text1"/>
                <w:sz w:val="24"/>
                <w:szCs w:val="24"/>
                <w:lang w:val="ro-MD"/>
              </w:rPr>
              <w:t>Partenera misiunii:</w:t>
            </w:r>
          </w:p>
          <w:p w14:paraId="41F9548B"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pPr>
            <w:r w:rsidRPr="00483DC7">
              <w:rPr>
                <w:rFonts w:ascii="Times New Roman" w:eastAsia="Times New Roman" w:hAnsi="Times New Roman" w:cs="Times New Roman"/>
                <w:bCs/>
                <w:iCs/>
                <w:color w:val="000000" w:themeColor="text1"/>
                <w:sz w:val="24"/>
                <w:szCs w:val="24"/>
                <w:lang w:val="ro-MD"/>
              </w:rPr>
              <w:t>Paknehad Ecaterina________</w:t>
            </w:r>
          </w:p>
        </w:tc>
      </w:tr>
    </w:tbl>
    <w:p w14:paraId="01CE6078" w14:textId="77777777" w:rsidR="00705001" w:rsidRPr="00483DC7" w:rsidRDefault="00705001" w:rsidP="00705001">
      <w:pPr>
        <w:tabs>
          <w:tab w:val="left" w:pos="1080"/>
          <w:tab w:val="left" w:pos="7110"/>
          <w:tab w:val="left" w:pos="7380"/>
        </w:tabs>
        <w:spacing w:after="240" w:line="276" w:lineRule="auto"/>
        <w:jc w:val="both"/>
        <w:rPr>
          <w:rFonts w:ascii="Times New Roman" w:eastAsia="Times New Roman" w:hAnsi="Times New Roman" w:cs="Times New Roman"/>
          <w:bCs/>
          <w:iCs/>
          <w:color w:val="000000" w:themeColor="text1"/>
          <w:sz w:val="24"/>
          <w:szCs w:val="24"/>
          <w:lang w:val="ro-MD"/>
        </w:rPr>
        <w:sectPr w:rsidR="00705001" w:rsidRPr="00483DC7" w:rsidSect="004614E2">
          <w:footerReference w:type="default" r:id="rId23"/>
          <w:pgSz w:w="11909" w:h="16834" w:code="9"/>
          <w:pgMar w:top="851" w:right="851" w:bottom="851" w:left="1701" w:header="0" w:footer="278" w:gutter="0"/>
          <w:cols w:space="720"/>
          <w:titlePg/>
          <w:docGrid w:linePitch="360"/>
        </w:sectPr>
      </w:pPr>
    </w:p>
    <w:p w14:paraId="655799B5" w14:textId="77777777" w:rsidR="000B393A" w:rsidRPr="00483DC7" w:rsidRDefault="000B393A" w:rsidP="00ED5FF1">
      <w:pPr>
        <w:pStyle w:val="Heading1"/>
        <w:jc w:val="center"/>
        <w:rPr>
          <w:rFonts w:ascii="Times New Roman" w:hAnsi="Times New Roman" w:cs="Times New Roman"/>
          <w:b/>
          <w:color w:val="auto"/>
          <w:sz w:val="24"/>
          <w:szCs w:val="24"/>
          <w:lang w:val="ro-MD"/>
        </w:rPr>
      </w:pPr>
      <w:bookmarkStart w:id="26" w:name="_Toc185943224"/>
      <w:r w:rsidRPr="00483DC7">
        <w:rPr>
          <w:rFonts w:ascii="Times New Roman" w:hAnsi="Times New Roman" w:cs="Times New Roman"/>
          <w:b/>
          <w:color w:val="auto"/>
          <w:sz w:val="24"/>
          <w:szCs w:val="24"/>
          <w:lang w:val="ro-MD"/>
        </w:rPr>
        <w:lastRenderedPageBreak/>
        <w:t>VII</w:t>
      </w:r>
      <w:r w:rsidR="00705001" w:rsidRPr="00483DC7">
        <w:rPr>
          <w:rFonts w:ascii="Times New Roman" w:hAnsi="Times New Roman" w:cs="Times New Roman"/>
          <w:b/>
          <w:color w:val="auto"/>
          <w:sz w:val="24"/>
          <w:szCs w:val="24"/>
          <w:lang w:val="ro-MD"/>
        </w:rPr>
        <w:t>I</w:t>
      </w:r>
      <w:r w:rsidRPr="00483DC7">
        <w:rPr>
          <w:rFonts w:ascii="Times New Roman" w:hAnsi="Times New Roman" w:cs="Times New Roman"/>
          <w:b/>
          <w:color w:val="auto"/>
          <w:sz w:val="24"/>
          <w:szCs w:val="24"/>
          <w:lang w:val="ro-MD"/>
        </w:rPr>
        <w:t>. ANEXE</w:t>
      </w:r>
      <w:bookmarkEnd w:id="18"/>
      <w:bookmarkEnd w:id="26"/>
    </w:p>
    <w:p w14:paraId="6CB0A4D9" w14:textId="77777777" w:rsidR="000B393A" w:rsidRPr="00483DC7" w:rsidRDefault="000B393A" w:rsidP="000B393A">
      <w:pPr>
        <w:pStyle w:val="Heading2"/>
        <w:rPr>
          <w:rFonts w:ascii="Times New Roman" w:hAnsi="Times New Roman" w:cs="Times New Roman"/>
          <w:color w:val="auto"/>
          <w:sz w:val="24"/>
          <w:szCs w:val="24"/>
          <w:lang w:val="ro-MD"/>
        </w:rPr>
      </w:pPr>
      <w:bookmarkStart w:id="27" w:name="_Toc180532863"/>
      <w:bookmarkStart w:id="28" w:name="_Toc185943225"/>
      <w:r w:rsidRPr="00483DC7">
        <w:rPr>
          <w:rFonts w:ascii="Times New Roman" w:hAnsi="Times New Roman" w:cs="Times New Roman"/>
          <w:b/>
          <w:color w:val="auto"/>
          <w:sz w:val="24"/>
          <w:szCs w:val="24"/>
          <w:lang w:val="ro-MD"/>
        </w:rPr>
        <w:t>Anexa nr. 1:</w:t>
      </w:r>
      <w:r w:rsidRPr="00483DC7">
        <w:rPr>
          <w:rFonts w:ascii="Times New Roman" w:hAnsi="Times New Roman" w:cs="Times New Roman"/>
          <w:color w:val="auto"/>
          <w:sz w:val="24"/>
          <w:szCs w:val="24"/>
          <w:lang w:val="ro-MD"/>
        </w:rPr>
        <w:t xml:space="preserve"> Metodologia și criteriile de audit aplicate în cadrul misiunii</w:t>
      </w:r>
      <w:bookmarkEnd w:id="27"/>
      <w:bookmarkEnd w:id="28"/>
    </w:p>
    <w:p w14:paraId="4FB0FF7C" w14:textId="77777777" w:rsidR="000B393A" w:rsidRPr="00483DC7" w:rsidRDefault="000B393A" w:rsidP="000B393A">
      <w:pPr>
        <w:spacing w:after="0"/>
        <w:rPr>
          <w:rFonts w:ascii="Times New Roman" w:hAnsi="Times New Roman" w:cs="Times New Roman"/>
          <w:sz w:val="24"/>
          <w:szCs w:val="24"/>
          <w:lang w:val="ro-MD"/>
        </w:rPr>
      </w:pPr>
    </w:p>
    <w:p w14:paraId="54460C31" w14:textId="77777777" w:rsidR="000B393A" w:rsidRPr="00483DC7" w:rsidRDefault="000B393A" w:rsidP="000B393A">
      <w:pPr>
        <w:jc w:val="center"/>
        <w:rPr>
          <w:rFonts w:ascii="Times New Roman" w:hAnsi="Times New Roman" w:cs="Times New Roman"/>
          <w:b/>
          <w:sz w:val="24"/>
          <w:szCs w:val="24"/>
          <w:lang w:val="ro-MD"/>
        </w:rPr>
      </w:pPr>
      <w:r w:rsidRPr="00483DC7">
        <w:rPr>
          <w:rFonts w:ascii="Times New Roman" w:hAnsi="Times New Roman" w:cs="Times New Roman"/>
          <w:b/>
          <w:sz w:val="24"/>
          <w:szCs w:val="24"/>
          <w:lang w:val="ro-MD"/>
        </w:rPr>
        <w:t>Metodologia de audit</w:t>
      </w:r>
    </w:p>
    <w:p w14:paraId="1E4E8CF8" w14:textId="77777777" w:rsidR="000B393A" w:rsidRPr="00483DC7" w:rsidRDefault="000B393A" w:rsidP="000B393A">
      <w:pPr>
        <w:spacing w:after="0"/>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Activitățile de audit s-au desfășurat în conformitate cu Standardele Internaționale ale Instituțiilor Supreme de Audit (ISSAI 100, ISSAI 300 și ISSAI 3000) și cadrul normativ-metodologic instituțional aferent, aplicate de Curtea de Conturi</w:t>
      </w:r>
      <w:r w:rsidRPr="00483DC7">
        <w:rPr>
          <w:rStyle w:val="FootnoteReference"/>
          <w:rFonts w:ascii="Times New Roman" w:hAnsi="Times New Roman" w:cs="Times New Roman"/>
          <w:sz w:val="24"/>
          <w:szCs w:val="24"/>
          <w:lang w:val="ro-MD"/>
        </w:rPr>
        <w:footnoteReference w:id="86"/>
      </w:r>
      <w:r w:rsidRPr="00483DC7">
        <w:rPr>
          <w:rFonts w:ascii="Times New Roman" w:hAnsi="Times New Roman" w:cs="Times New Roman"/>
          <w:sz w:val="24"/>
          <w:szCs w:val="24"/>
          <w:lang w:val="ro-MD"/>
        </w:rPr>
        <w:t>.</w:t>
      </w:r>
    </w:p>
    <w:p w14:paraId="4682BF6A" w14:textId="77777777" w:rsidR="000B393A" w:rsidRPr="00483DC7" w:rsidRDefault="000B393A" w:rsidP="000B393A">
      <w:pPr>
        <w:ind w:firstLine="709"/>
        <w:jc w:val="both"/>
        <w:rPr>
          <w:rFonts w:ascii="Times New Roman" w:hAnsi="Times New Roman" w:cs="Times New Roman"/>
          <w:sz w:val="24"/>
          <w:szCs w:val="24"/>
          <w:lang w:val="ro-MD"/>
        </w:rPr>
      </w:pPr>
      <w:r w:rsidRPr="00483DC7">
        <w:rPr>
          <w:rFonts w:ascii="Times New Roman" w:hAnsi="Times New Roman" w:cs="Times New Roman"/>
          <w:sz w:val="24"/>
          <w:szCs w:val="24"/>
          <w:lang w:val="ro-MD"/>
        </w:rPr>
        <w:t xml:space="preserve">Pentru obținerea unor probe suficiente și adecvate, care să susțină concluziile și credibilitatea constatărilor expuse în Raportul de audit, </w:t>
      </w:r>
    </w:p>
    <w:p w14:paraId="20F61DA0" w14:textId="77777777" w:rsidR="000B393A" w:rsidRPr="00483DC7" w:rsidRDefault="000B393A" w:rsidP="000B393A">
      <w:pPr>
        <w:jc w:val="center"/>
        <w:rPr>
          <w:rFonts w:ascii="Times New Roman" w:hAnsi="Times New Roman" w:cs="Times New Roman"/>
          <w:b/>
          <w:sz w:val="24"/>
          <w:szCs w:val="24"/>
          <w:lang w:val="ro-MD"/>
        </w:rPr>
      </w:pPr>
      <w:r w:rsidRPr="00483DC7">
        <w:rPr>
          <w:rFonts w:ascii="Times New Roman" w:hAnsi="Times New Roman" w:cs="Times New Roman"/>
          <w:b/>
          <w:sz w:val="24"/>
          <w:szCs w:val="24"/>
          <w:lang w:val="ro-MD"/>
        </w:rPr>
        <w:t>Criteriile de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4296"/>
      </w:tblGrid>
      <w:tr w:rsidR="000B393A" w:rsidRPr="00483DC7" w14:paraId="670D5BDE" w14:textId="77777777" w:rsidTr="00705001">
        <w:trPr>
          <w:trHeight w:val="519"/>
        </w:trPr>
        <w:tc>
          <w:tcPr>
            <w:tcW w:w="1980" w:type="dxa"/>
            <w:shd w:val="clear" w:color="auto" w:fill="DEEAF6" w:themeFill="accent1" w:themeFillTint="33"/>
            <w:vAlign w:val="center"/>
          </w:tcPr>
          <w:p w14:paraId="1CDB4DFB" w14:textId="13A709FE" w:rsidR="000B393A" w:rsidRPr="00483DC7" w:rsidRDefault="000B393A" w:rsidP="00705001">
            <w:pPr>
              <w:spacing w:after="0"/>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Referință la </w:t>
            </w:r>
            <w:r w:rsidR="00C624F9">
              <w:rPr>
                <w:rFonts w:ascii="Times New Roman" w:hAnsi="Times New Roman" w:cs="Times New Roman"/>
                <w:b/>
                <w:sz w:val="20"/>
                <w:szCs w:val="20"/>
                <w:lang w:val="ro-MD"/>
              </w:rPr>
              <w:t>sub</w:t>
            </w:r>
            <w:r w:rsidRPr="00483DC7">
              <w:rPr>
                <w:rFonts w:ascii="Times New Roman" w:hAnsi="Times New Roman" w:cs="Times New Roman"/>
                <w:b/>
                <w:sz w:val="20"/>
                <w:szCs w:val="20"/>
                <w:lang w:val="ro-MD"/>
              </w:rPr>
              <w:t>paragraful din Raportul de audit</w:t>
            </w:r>
          </w:p>
        </w:tc>
        <w:tc>
          <w:tcPr>
            <w:tcW w:w="3402" w:type="dxa"/>
            <w:shd w:val="clear" w:color="auto" w:fill="DEEAF6" w:themeFill="accent1" w:themeFillTint="33"/>
            <w:vAlign w:val="center"/>
          </w:tcPr>
          <w:p w14:paraId="244B5B45" w14:textId="77777777" w:rsidR="000B393A" w:rsidRPr="00483DC7" w:rsidRDefault="000B393A" w:rsidP="00705001">
            <w:pPr>
              <w:spacing w:after="0"/>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Criteriu de audit</w:t>
            </w:r>
          </w:p>
        </w:tc>
        <w:tc>
          <w:tcPr>
            <w:tcW w:w="4296" w:type="dxa"/>
            <w:shd w:val="clear" w:color="auto" w:fill="DEEAF6" w:themeFill="accent1" w:themeFillTint="33"/>
            <w:vAlign w:val="center"/>
          </w:tcPr>
          <w:p w14:paraId="79F92BAC" w14:textId="77777777" w:rsidR="000B393A" w:rsidRPr="00483DC7" w:rsidRDefault="000B393A" w:rsidP="00705001">
            <w:pPr>
              <w:spacing w:after="0"/>
              <w:jc w:val="center"/>
              <w:rPr>
                <w:rFonts w:ascii="Times New Roman" w:hAnsi="Times New Roman" w:cs="Times New Roman"/>
                <w:b/>
                <w:sz w:val="20"/>
                <w:szCs w:val="20"/>
                <w:lang w:val="ro-MD"/>
              </w:rPr>
            </w:pPr>
            <w:r w:rsidRPr="00483DC7">
              <w:rPr>
                <w:rFonts w:ascii="Times New Roman" w:hAnsi="Times New Roman" w:cs="Times New Roman"/>
                <w:b/>
                <w:sz w:val="20"/>
                <w:szCs w:val="20"/>
                <w:lang w:val="ro-MD"/>
              </w:rPr>
              <w:t>Tehnicile de audit aplicate</w:t>
            </w:r>
          </w:p>
        </w:tc>
      </w:tr>
      <w:tr w:rsidR="000B393A" w:rsidRPr="00483DC7" w14:paraId="3DEAA099" w14:textId="77777777" w:rsidTr="00705001">
        <w:tc>
          <w:tcPr>
            <w:tcW w:w="1980" w:type="dxa"/>
          </w:tcPr>
          <w:p w14:paraId="068A538E"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4.1.1. Mandatul atribuit UIPFAE este suficient și adecvat pentru realizarea scopului și misiunii stabilit la crearea acestora?</w:t>
            </w:r>
          </w:p>
        </w:tc>
        <w:tc>
          <w:tcPr>
            <w:tcW w:w="3402" w:type="dxa"/>
          </w:tcPr>
          <w:p w14:paraId="03B42463" w14:textId="5D136975"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b/>
                <w:sz w:val="20"/>
                <w:szCs w:val="20"/>
                <w:lang w:val="ro-MD"/>
              </w:rPr>
              <w:t xml:space="preserve">Pct. 7-15 din Regulamentul aprobat prin HG nr.386/2020 </w:t>
            </w:r>
            <w:r w:rsidR="006824D8">
              <w:rPr>
                <w:rFonts w:ascii="Times New Roman" w:hAnsi="Times New Roman" w:cs="Times New Roman"/>
                <w:sz w:val="20"/>
                <w:szCs w:val="20"/>
                <w:lang w:val="ro-MD"/>
              </w:rPr>
              <w:t>prevede</w:t>
            </w:r>
            <w:r w:rsidRPr="00483DC7">
              <w:rPr>
                <w:rFonts w:ascii="Times New Roman" w:hAnsi="Times New Roman" w:cs="Times New Roman"/>
                <w:sz w:val="20"/>
                <w:szCs w:val="20"/>
                <w:lang w:val="ro-MD"/>
              </w:rPr>
              <w:t xml:space="preserve"> că planificarea documentelor de politici publice se efectuează prin intermediul documentelor de planificare: strategia națională de dezvoltare, programul de activitate al Guvernului, Planul național de dezvoltare, cadrul bugetar pe termen mediu, planul anual al Guvernului, Planul anual al autorității publice.</w:t>
            </w:r>
          </w:p>
          <w:p w14:paraId="30E4AD7A" w14:textId="2E1B0535" w:rsidR="000B393A" w:rsidRPr="00483DC7" w:rsidRDefault="000B393A" w:rsidP="00205477">
            <w:pPr>
              <w:spacing w:after="0"/>
              <w:jc w:val="both"/>
              <w:rPr>
                <w:rFonts w:ascii="Times New Roman" w:hAnsi="Times New Roman" w:cs="Times New Roman"/>
                <w:sz w:val="20"/>
                <w:szCs w:val="20"/>
                <w:lang w:val="ro-MD"/>
              </w:rPr>
            </w:pPr>
            <w:r w:rsidRPr="00483DC7">
              <w:rPr>
                <w:rFonts w:ascii="Times New Roman" w:hAnsi="Times New Roman" w:cs="Times New Roman"/>
                <w:b/>
                <w:sz w:val="20"/>
                <w:szCs w:val="20"/>
                <w:lang w:val="ro-MD"/>
              </w:rPr>
              <w:t xml:space="preserve">Hotărârile de Guvern privind constituirea/reorganizarea UIPFAE </w:t>
            </w:r>
            <w:r w:rsidRPr="00483DC7">
              <w:rPr>
                <w:rFonts w:ascii="Times New Roman" w:hAnsi="Times New Roman" w:cs="Times New Roman"/>
                <w:sz w:val="20"/>
                <w:szCs w:val="20"/>
                <w:lang w:val="ro-MD"/>
              </w:rPr>
              <w:t>stabile</w:t>
            </w:r>
            <w:r w:rsidR="00205477">
              <w:rPr>
                <w:rFonts w:ascii="Times New Roman" w:hAnsi="Times New Roman" w:cs="Times New Roman"/>
                <w:sz w:val="20"/>
                <w:szCs w:val="20"/>
                <w:lang w:val="ro-MD"/>
              </w:rPr>
              <w:t>sc</w:t>
            </w:r>
            <w:r w:rsidRPr="00483DC7">
              <w:rPr>
                <w:rFonts w:ascii="Times New Roman" w:hAnsi="Times New Roman" w:cs="Times New Roman"/>
                <w:sz w:val="20"/>
                <w:szCs w:val="20"/>
                <w:lang w:val="ro-MD"/>
              </w:rPr>
              <w:t xml:space="preserve"> sarcinile și atribuțiile entităților auditate, precum și raporturile juridice a</w:t>
            </w:r>
            <w:r w:rsidR="00205477">
              <w:rPr>
                <w:rFonts w:ascii="Times New Roman" w:hAnsi="Times New Roman" w:cs="Times New Roman"/>
                <w:sz w:val="20"/>
                <w:szCs w:val="20"/>
                <w:lang w:val="ro-MD"/>
              </w:rPr>
              <w:t>le</w:t>
            </w:r>
            <w:r w:rsidRPr="00483DC7">
              <w:rPr>
                <w:rFonts w:ascii="Times New Roman" w:hAnsi="Times New Roman" w:cs="Times New Roman"/>
                <w:sz w:val="20"/>
                <w:szCs w:val="20"/>
                <w:lang w:val="ro-MD"/>
              </w:rPr>
              <w:t xml:space="preserve"> acestora cu alte instituții/organizații publice și private.</w:t>
            </w:r>
          </w:p>
        </w:tc>
        <w:tc>
          <w:tcPr>
            <w:tcW w:w="4296" w:type="dxa"/>
          </w:tcPr>
          <w:p w14:paraId="4FDFEE0C"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 Analiza documentelor de politici publice și a documentelor de planificare (inclusiv deciziile de modificare a acestora), în vederea evaluării consecvenței și completitudinii acestora;</w:t>
            </w:r>
          </w:p>
          <w:p w14:paraId="5CBC1C32" w14:textId="43926AB2"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 Analiza planurilor și rapoartelor de activitate ale entităților auditate,  în vederea identificării rezultatelor obținute de către UIPFAE în perioada 2022-2023;</w:t>
            </w:r>
          </w:p>
          <w:p w14:paraId="3792A233"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Intervievarea persoanelor responsabile, în vederea identificării cauzelor nerespectării limitelor bugetare și de timp planificate;</w:t>
            </w:r>
          </w:p>
          <w:p w14:paraId="0F6557EC" w14:textId="77777777" w:rsidR="000B393A" w:rsidRPr="00483DC7" w:rsidRDefault="000B393A" w:rsidP="00705001">
            <w:pPr>
              <w:spacing w:after="0"/>
              <w:jc w:val="both"/>
              <w:rPr>
                <w:rFonts w:ascii="Times New Roman" w:hAnsi="Times New Roman" w:cs="Times New Roman"/>
                <w:b/>
                <w:sz w:val="20"/>
                <w:szCs w:val="20"/>
                <w:lang w:val="ro-MD"/>
              </w:rPr>
            </w:pPr>
            <w:r w:rsidRPr="00483DC7">
              <w:rPr>
                <w:rFonts w:ascii="Times New Roman" w:hAnsi="Times New Roman" w:cs="Times New Roman"/>
                <w:sz w:val="20"/>
                <w:szCs w:val="20"/>
                <w:lang w:val="ro-MD"/>
              </w:rPr>
              <w:t>4. Observații directe în cadrul vizitelor la entitățile auditate.</w:t>
            </w:r>
          </w:p>
        </w:tc>
      </w:tr>
      <w:tr w:rsidR="000B393A" w:rsidRPr="00483DC7" w14:paraId="1FE2DCE8" w14:textId="77777777" w:rsidTr="00705001">
        <w:tc>
          <w:tcPr>
            <w:tcW w:w="1980" w:type="dxa"/>
          </w:tcPr>
          <w:p w14:paraId="6D1FD955"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4.1.2. Activitatea UIPFAE este evaluată în baza unor indicatori de performanță SMART (specific, măsurabil, abordabil/de atins, relevant și încadrat în timp)?</w:t>
            </w:r>
          </w:p>
        </w:tc>
        <w:tc>
          <w:tcPr>
            <w:tcW w:w="3402" w:type="dxa"/>
          </w:tcPr>
          <w:p w14:paraId="79E18437"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b/>
                <w:sz w:val="20"/>
                <w:szCs w:val="20"/>
                <w:lang w:val="ro-MD"/>
              </w:rPr>
              <w:t xml:space="preserve">Art.10 din Legea nr.229/2010 privind controlul financiar public intern </w:t>
            </w:r>
            <w:r w:rsidRPr="00483DC7">
              <w:rPr>
                <w:rFonts w:ascii="Times New Roman" w:hAnsi="Times New Roman" w:cs="Times New Roman"/>
                <w:sz w:val="20"/>
                <w:szCs w:val="20"/>
                <w:lang w:val="ro-MD"/>
              </w:rPr>
              <w:t xml:space="preserve">reglementează necesitatea ca managerii entității publice și managerii operaționali să stabilească obiective, acțiuni și indicatori de performanță pentru activitatea entității publice și a subdiviziunilor organizaționale, fiind responsabili de monitorizarea, realizarea și raportarea acestora. </w:t>
            </w:r>
          </w:p>
        </w:tc>
        <w:tc>
          <w:tcPr>
            <w:tcW w:w="4296" w:type="dxa"/>
          </w:tcPr>
          <w:p w14:paraId="5B9A3960" w14:textId="200B4A8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 Analiza cadrului procedural </w:t>
            </w:r>
            <w:r w:rsidR="00205477">
              <w:rPr>
                <w:rFonts w:ascii="Times New Roman" w:hAnsi="Times New Roman" w:cs="Times New Roman"/>
                <w:sz w:val="20"/>
                <w:szCs w:val="20"/>
                <w:lang w:val="ro-MD"/>
              </w:rPr>
              <w:t>privind activitatea</w:t>
            </w:r>
            <w:r w:rsidRPr="00483DC7">
              <w:rPr>
                <w:rFonts w:ascii="Times New Roman" w:hAnsi="Times New Roman" w:cs="Times New Roman"/>
                <w:sz w:val="20"/>
                <w:szCs w:val="20"/>
                <w:lang w:val="ro-MD"/>
              </w:rPr>
              <w:t xml:space="preserve"> UIPFAE, în vederea evaluării gradului de corelare a acestuia cu documentele de politici publice aprobate;</w:t>
            </w:r>
          </w:p>
          <w:p w14:paraId="4697FA68"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 Proceduri analitice asupra documentelor aferente controlului intern managerial, în vederea evaluării consecvenței și completitudinii acestora;</w:t>
            </w:r>
          </w:p>
          <w:p w14:paraId="4F6E3C26"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Testarea controalelor cheie/ activităților de control din cadrul UIPFAE întru identificarea aplicabilității și eficacității acestora.</w:t>
            </w:r>
          </w:p>
          <w:p w14:paraId="53066BE0"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4. Intervievarea persoanelor responsabile, în vederea identificării cauzelor nerespectării cadrului național de reglementare a controlului intern managerial. </w:t>
            </w:r>
          </w:p>
          <w:p w14:paraId="386543B2" w14:textId="77777777" w:rsidR="000B393A" w:rsidRPr="00483DC7" w:rsidRDefault="000B393A" w:rsidP="00705001">
            <w:pPr>
              <w:spacing w:after="0"/>
              <w:jc w:val="both"/>
              <w:rPr>
                <w:rFonts w:ascii="Times New Roman" w:hAnsi="Times New Roman" w:cs="Times New Roman"/>
                <w:b/>
                <w:sz w:val="20"/>
                <w:szCs w:val="20"/>
                <w:lang w:val="ro-MD"/>
              </w:rPr>
            </w:pPr>
            <w:r w:rsidRPr="00483DC7">
              <w:rPr>
                <w:rFonts w:ascii="Times New Roman" w:hAnsi="Times New Roman" w:cs="Times New Roman"/>
                <w:sz w:val="20"/>
                <w:szCs w:val="20"/>
                <w:lang w:val="ro-MD"/>
              </w:rPr>
              <w:t>5.  Observații directe în cadrul vizitelor la entitățile auditate.</w:t>
            </w:r>
          </w:p>
        </w:tc>
      </w:tr>
      <w:tr w:rsidR="000B393A" w:rsidRPr="00483DC7" w14:paraId="1162A220" w14:textId="77777777" w:rsidTr="00705001">
        <w:tc>
          <w:tcPr>
            <w:tcW w:w="1980" w:type="dxa"/>
          </w:tcPr>
          <w:p w14:paraId="5D417091" w14:textId="654FA86F" w:rsidR="000B393A" w:rsidRPr="00483DC7" w:rsidRDefault="00C624F9" w:rsidP="00C624F9">
            <w:pPr>
              <w:spacing w:after="0"/>
              <w:jc w:val="both"/>
              <w:rPr>
                <w:rFonts w:ascii="Times New Roman" w:hAnsi="Times New Roman" w:cs="Times New Roman"/>
                <w:sz w:val="20"/>
                <w:szCs w:val="20"/>
                <w:lang w:val="ro-MD"/>
              </w:rPr>
            </w:pPr>
            <w:r>
              <w:rPr>
                <w:rFonts w:ascii="Times New Roman" w:hAnsi="Times New Roman" w:cs="Times New Roman"/>
                <w:sz w:val="20"/>
                <w:szCs w:val="20"/>
                <w:lang w:val="ro-MD"/>
              </w:rPr>
              <w:t xml:space="preserve">4.2.1. Resursele alocate </w:t>
            </w:r>
            <w:r w:rsidR="000B393A" w:rsidRPr="00483DC7">
              <w:rPr>
                <w:rFonts w:ascii="Times New Roman" w:hAnsi="Times New Roman" w:cs="Times New Roman"/>
                <w:sz w:val="20"/>
                <w:szCs w:val="20"/>
                <w:lang w:val="ro-MD"/>
              </w:rPr>
              <w:t xml:space="preserve">UIPFAE pentru realizarea obiectivelor trasate, au fost utilizate în </w:t>
            </w:r>
            <w:r w:rsidR="000B393A" w:rsidRPr="00483DC7">
              <w:rPr>
                <w:rFonts w:ascii="Times New Roman" w:hAnsi="Times New Roman" w:cs="Times New Roman"/>
                <w:sz w:val="20"/>
                <w:szCs w:val="20"/>
                <w:lang w:val="ro-MD"/>
              </w:rPr>
              <w:lastRenderedPageBreak/>
              <w:t>mod econom, eficient și eficace, în concordanță cu principiile bunei guvernări?</w:t>
            </w:r>
          </w:p>
        </w:tc>
        <w:tc>
          <w:tcPr>
            <w:tcW w:w="3402" w:type="dxa"/>
          </w:tcPr>
          <w:p w14:paraId="32886509" w14:textId="77777777" w:rsidR="000B393A" w:rsidRPr="00483DC7" w:rsidRDefault="000B393A" w:rsidP="00705001">
            <w:pPr>
              <w:spacing w:after="0"/>
              <w:jc w:val="both"/>
              <w:rPr>
                <w:rFonts w:ascii="Times New Roman" w:hAnsi="Times New Roman" w:cs="Times New Roman"/>
                <w:b/>
                <w:sz w:val="20"/>
                <w:szCs w:val="20"/>
                <w:lang w:val="ro-MD"/>
              </w:rPr>
            </w:pPr>
            <w:r w:rsidRPr="00483DC7">
              <w:rPr>
                <w:rFonts w:ascii="Times New Roman" w:hAnsi="Times New Roman" w:cs="Times New Roman"/>
                <w:b/>
                <w:sz w:val="20"/>
                <w:szCs w:val="20"/>
                <w:lang w:val="ro-MD"/>
              </w:rPr>
              <w:lastRenderedPageBreak/>
              <w:t xml:space="preserve">Art.11 alin. (1) și art.44 din Legea finanțelor publice și responsabilității bugetar-fiscale nr.181/2014 </w:t>
            </w:r>
            <w:r w:rsidRPr="00483DC7">
              <w:rPr>
                <w:rFonts w:ascii="Times New Roman" w:hAnsi="Times New Roman" w:cs="Times New Roman"/>
                <w:sz w:val="20"/>
                <w:szCs w:val="20"/>
                <w:lang w:val="ro-MD"/>
              </w:rPr>
              <w:t xml:space="preserve">reglementează necesitatea ca resursele bugetare să se aloce și să se utilizeze în </w:t>
            </w:r>
            <w:r w:rsidRPr="00483DC7">
              <w:rPr>
                <w:rFonts w:ascii="Times New Roman" w:hAnsi="Times New Roman" w:cs="Times New Roman"/>
                <w:sz w:val="20"/>
                <w:szCs w:val="20"/>
                <w:lang w:val="ro-MD"/>
              </w:rPr>
              <w:lastRenderedPageBreak/>
              <w:t xml:space="preserve">mod econom, eficient și eficace, în concordanță cu principiile bunei guvernări. </w:t>
            </w:r>
            <w:r w:rsidRPr="00483DC7">
              <w:rPr>
                <w:rFonts w:ascii="Times New Roman" w:hAnsi="Times New Roman" w:cs="Times New Roman"/>
                <w:b/>
                <w:sz w:val="20"/>
                <w:szCs w:val="20"/>
                <w:lang w:val="ro-MD"/>
              </w:rPr>
              <w:t xml:space="preserve"> </w:t>
            </w:r>
          </w:p>
        </w:tc>
        <w:tc>
          <w:tcPr>
            <w:tcW w:w="4296" w:type="dxa"/>
          </w:tcPr>
          <w:p w14:paraId="3598D580" w14:textId="77777777" w:rsidR="000B393A" w:rsidRPr="00483DC7" w:rsidRDefault="000B393A" w:rsidP="00705001">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 xml:space="preserve">1. Analiza modului de planificare și aprobare a limitelor alocațiilor bugetare anuale, în vederea evaluării eficienței procedurilor aplicate.  </w:t>
            </w:r>
          </w:p>
          <w:p w14:paraId="43435110" w14:textId="77777777" w:rsidR="000B393A" w:rsidRPr="00483DC7" w:rsidRDefault="000B393A" w:rsidP="00705001">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Proceduri analitice asupra documentelor contabile, în vederea evaluării respectării limitelor </w:t>
            </w:r>
            <w:r w:rsidRPr="00483DC7">
              <w:rPr>
                <w:rFonts w:ascii="Times New Roman" w:hAnsi="Times New Roman" w:cs="Times New Roman"/>
                <w:sz w:val="20"/>
                <w:szCs w:val="20"/>
                <w:lang w:val="ro-MD"/>
              </w:rPr>
              <w:lastRenderedPageBreak/>
              <w:t xml:space="preserve">alocațiilor bugetare aprobate și, după caz, documentarea situațiilor când acestea au fost depășite/neexecutate.  </w:t>
            </w:r>
          </w:p>
          <w:p w14:paraId="0889AA2F" w14:textId="77777777" w:rsidR="000B393A" w:rsidRPr="00483DC7" w:rsidRDefault="000B393A" w:rsidP="00705001">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Intervievarea persoanelor responsabile, în vederea identificării cauzelor nerespectării limitelor alocațiilor bugetare.</w:t>
            </w:r>
          </w:p>
          <w:p w14:paraId="2452789C" w14:textId="77777777" w:rsidR="000B393A" w:rsidRPr="00483DC7" w:rsidRDefault="000B393A" w:rsidP="00705001">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 Proceduri analitice asupra deciziilor și proceselor-verbale a grupurilor de lucru privind achizițiile de bunuri, lucrări și servicii, în vederea evaluării transparenței, economicității și eficienței procedurilor de achiziții desfășurate;</w:t>
            </w:r>
          </w:p>
          <w:p w14:paraId="0AE9C09B" w14:textId="0A8E21BA" w:rsidR="000B393A" w:rsidRPr="00483DC7" w:rsidRDefault="00C624F9" w:rsidP="00705001">
            <w:pPr>
              <w:spacing w:after="0" w:line="240" w:lineRule="auto"/>
              <w:jc w:val="both"/>
              <w:rPr>
                <w:rFonts w:ascii="Times New Roman" w:hAnsi="Times New Roman" w:cs="Times New Roman"/>
                <w:sz w:val="20"/>
                <w:szCs w:val="20"/>
                <w:lang w:val="ro-MD"/>
              </w:rPr>
            </w:pPr>
            <w:r>
              <w:rPr>
                <w:rFonts w:ascii="Times New Roman" w:hAnsi="Times New Roman" w:cs="Times New Roman"/>
                <w:sz w:val="20"/>
                <w:szCs w:val="20"/>
                <w:lang w:val="ro-MD"/>
              </w:rPr>
              <w:t>5. Testarea controalelor-</w:t>
            </w:r>
            <w:r w:rsidR="000B393A" w:rsidRPr="00483DC7">
              <w:rPr>
                <w:rFonts w:ascii="Times New Roman" w:hAnsi="Times New Roman" w:cs="Times New Roman"/>
                <w:sz w:val="20"/>
                <w:szCs w:val="20"/>
                <w:lang w:val="ro-MD"/>
              </w:rPr>
              <w:t xml:space="preserve">cheie din cadrul UIPFAE, responsabile de asigurarea executării conforme a contractelor de achiziții,  </w:t>
            </w:r>
            <w:r>
              <w:rPr>
                <w:rFonts w:ascii="Times New Roman" w:hAnsi="Times New Roman" w:cs="Times New Roman"/>
                <w:sz w:val="20"/>
                <w:szCs w:val="20"/>
                <w:lang w:val="ro-MD"/>
              </w:rPr>
              <w:t>pe</w:t>
            </w:r>
            <w:r w:rsidR="000B393A" w:rsidRPr="00483DC7">
              <w:rPr>
                <w:rFonts w:ascii="Times New Roman" w:hAnsi="Times New Roman" w:cs="Times New Roman"/>
                <w:sz w:val="20"/>
                <w:szCs w:val="20"/>
                <w:lang w:val="ro-MD"/>
              </w:rPr>
              <w:t xml:space="preserve">ntru identificarea aplicabilității și eficacității acestora. </w:t>
            </w:r>
          </w:p>
          <w:p w14:paraId="448EBC2C" w14:textId="77777777" w:rsidR="000B393A" w:rsidRPr="00483DC7" w:rsidRDefault="000B393A" w:rsidP="00705001">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 Observații directe în cadrul vizitelor la entitățile auditate.</w:t>
            </w:r>
          </w:p>
          <w:p w14:paraId="32D5B0DD" w14:textId="593557E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7. Analiza procedurilor de angajare și evaluare a personalului în cadrul UIPFAE, </w:t>
            </w:r>
            <w:r w:rsidR="00C624F9">
              <w:rPr>
                <w:rFonts w:ascii="Times New Roman" w:hAnsi="Times New Roman" w:cs="Times New Roman"/>
                <w:sz w:val="20"/>
                <w:szCs w:val="20"/>
                <w:lang w:val="ro-MD"/>
              </w:rPr>
              <w:t>pe</w:t>
            </w:r>
            <w:r w:rsidRPr="00483DC7">
              <w:rPr>
                <w:rFonts w:ascii="Times New Roman" w:hAnsi="Times New Roman" w:cs="Times New Roman"/>
                <w:sz w:val="20"/>
                <w:szCs w:val="20"/>
                <w:lang w:val="ro-MD"/>
              </w:rPr>
              <w:t>ntru identificarea aplicabilității și eficacității acestora;</w:t>
            </w:r>
          </w:p>
          <w:p w14:paraId="4AEECFB2" w14:textId="77777777" w:rsidR="000B393A" w:rsidRPr="00483DC7" w:rsidRDefault="000B393A" w:rsidP="00705001">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8. Proceduri analitice asupra documentelor de personal, în vederea evaluării relevanței, consecvenței și completitudinii acestora.</w:t>
            </w:r>
          </w:p>
          <w:p w14:paraId="6EFD95A4" w14:textId="46195E6E" w:rsidR="000B393A" w:rsidRPr="00483DC7" w:rsidRDefault="000B393A" w:rsidP="003743D9">
            <w:pPr>
              <w:spacing w:after="0" w:line="240" w:lineRule="auto"/>
              <w:jc w:val="both"/>
              <w:rPr>
                <w:rFonts w:ascii="Times New Roman" w:hAnsi="Times New Roman" w:cs="Times New Roman"/>
                <w:b/>
                <w:sz w:val="20"/>
                <w:szCs w:val="20"/>
                <w:lang w:val="ro-MD"/>
              </w:rPr>
            </w:pPr>
            <w:r w:rsidRPr="00483DC7">
              <w:rPr>
                <w:rFonts w:ascii="Times New Roman" w:hAnsi="Times New Roman" w:cs="Times New Roman"/>
                <w:sz w:val="20"/>
                <w:szCs w:val="20"/>
                <w:lang w:val="ro-MD"/>
              </w:rPr>
              <w:t>9. Analiza eficacității activității de monitorizare a UIP</w:t>
            </w:r>
            <w:r w:rsidR="008F381B" w:rsidRPr="00483DC7">
              <w:rPr>
                <w:rFonts w:ascii="Times New Roman" w:hAnsi="Times New Roman" w:cs="Times New Roman"/>
                <w:sz w:val="20"/>
                <w:szCs w:val="20"/>
                <w:lang w:val="ro-MD"/>
              </w:rPr>
              <w:t>FAE</w:t>
            </w:r>
            <w:r w:rsidRPr="00483DC7">
              <w:rPr>
                <w:rFonts w:ascii="Times New Roman" w:hAnsi="Times New Roman" w:cs="Times New Roman"/>
                <w:sz w:val="20"/>
                <w:szCs w:val="20"/>
                <w:lang w:val="ro-MD"/>
              </w:rPr>
              <w:t xml:space="preserve"> din partea fondatorului, consiliilor/comitetelor de supraveghere (identificarea și documentarea cazurilor de neconformitate în activitatea fondatorilor, consiliilor de supraveghere și UIP).</w:t>
            </w:r>
          </w:p>
        </w:tc>
      </w:tr>
      <w:tr w:rsidR="000B393A" w:rsidRPr="00483DC7" w14:paraId="59CD8381" w14:textId="77777777" w:rsidTr="00705001">
        <w:tc>
          <w:tcPr>
            <w:tcW w:w="1980" w:type="dxa"/>
          </w:tcPr>
          <w:p w14:paraId="0FF26EAF" w14:textId="4744B200" w:rsidR="000B393A" w:rsidRPr="00483DC7" w:rsidRDefault="000B393A" w:rsidP="00C624F9">
            <w:pPr>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 xml:space="preserve">4.2.2. Rezultatele obținute de către UIPFAE produc un impact pozitiv asupra domeniilor </w:t>
            </w:r>
            <w:r w:rsidR="00C624F9">
              <w:rPr>
                <w:rFonts w:ascii="Times New Roman" w:hAnsi="Times New Roman" w:cs="Times New Roman"/>
                <w:sz w:val="20"/>
                <w:szCs w:val="20"/>
                <w:lang w:val="ro-MD"/>
              </w:rPr>
              <w:t>lor</w:t>
            </w:r>
            <w:r w:rsidRPr="00483DC7">
              <w:rPr>
                <w:rFonts w:ascii="Times New Roman" w:hAnsi="Times New Roman" w:cs="Times New Roman"/>
                <w:sz w:val="20"/>
                <w:szCs w:val="20"/>
                <w:lang w:val="ro-MD"/>
              </w:rPr>
              <w:t xml:space="preserve"> de competență?</w:t>
            </w:r>
          </w:p>
        </w:tc>
        <w:tc>
          <w:tcPr>
            <w:tcW w:w="3402" w:type="dxa"/>
          </w:tcPr>
          <w:p w14:paraId="628CE6DF" w14:textId="77777777" w:rsidR="000B393A" w:rsidRPr="00483DC7" w:rsidRDefault="000B393A" w:rsidP="00705001">
            <w:pPr>
              <w:jc w:val="both"/>
              <w:rPr>
                <w:rFonts w:ascii="Times New Roman" w:hAnsi="Times New Roman" w:cs="Times New Roman"/>
                <w:b/>
                <w:sz w:val="20"/>
                <w:szCs w:val="20"/>
                <w:lang w:val="ro-MD"/>
              </w:rPr>
            </w:pPr>
            <w:r w:rsidRPr="00483DC7">
              <w:rPr>
                <w:rFonts w:ascii="Times New Roman" w:hAnsi="Times New Roman" w:cs="Times New Roman"/>
                <w:b/>
                <w:sz w:val="20"/>
                <w:szCs w:val="20"/>
                <w:lang w:val="ro-MD"/>
              </w:rPr>
              <w:t xml:space="preserve">Potrivit Acordurilor de finanțare semnate cu partenerii externi, </w:t>
            </w:r>
            <w:r w:rsidRPr="00483DC7">
              <w:rPr>
                <w:rFonts w:ascii="Times New Roman" w:hAnsi="Times New Roman" w:cs="Times New Roman"/>
                <w:sz w:val="20"/>
                <w:szCs w:val="20"/>
                <w:lang w:val="ro-MD"/>
              </w:rPr>
              <w:t>scopul proiectelor finanțate din surse externe constă în asigurarea atingerii obiectivelor prioritare ale Guvernului, incluse în documentele de planificare strategică națională și documentele de politici la nivel sectorial.</w:t>
            </w:r>
          </w:p>
        </w:tc>
        <w:tc>
          <w:tcPr>
            <w:tcW w:w="4296" w:type="dxa"/>
          </w:tcPr>
          <w:p w14:paraId="5281D4CC" w14:textId="6F355FE6" w:rsidR="000B393A" w:rsidRPr="00483DC7" w:rsidRDefault="000B393A" w:rsidP="008F381B">
            <w:pPr>
              <w:jc w:val="both"/>
              <w:rPr>
                <w:rFonts w:ascii="Times New Roman" w:hAnsi="Times New Roman" w:cs="Times New Roman"/>
                <w:b/>
                <w:sz w:val="20"/>
                <w:szCs w:val="20"/>
                <w:lang w:val="ro-MD"/>
              </w:rPr>
            </w:pPr>
            <w:r w:rsidRPr="00483DC7">
              <w:rPr>
                <w:rFonts w:ascii="Times New Roman" w:hAnsi="Times New Roman" w:cs="Times New Roman"/>
                <w:sz w:val="20"/>
                <w:szCs w:val="20"/>
                <w:lang w:val="ro-MD"/>
              </w:rPr>
              <w:t xml:space="preserve">1. Analiza rapoartelor de evaluare întocmite de către fondatori, donatori și/sau alte organe de control, în vederea desfășurării unei evaluări comparative a impactului rezultatelor atinse de către </w:t>
            </w:r>
            <w:r w:rsidR="008F381B" w:rsidRPr="00483DC7">
              <w:rPr>
                <w:rFonts w:ascii="Times New Roman" w:hAnsi="Times New Roman" w:cs="Times New Roman"/>
                <w:sz w:val="20"/>
                <w:szCs w:val="20"/>
                <w:lang w:val="ro-MD"/>
              </w:rPr>
              <w:t xml:space="preserve">UIPFAE </w:t>
            </w:r>
            <w:r w:rsidRPr="00483DC7">
              <w:rPr>
                <w:rFonts w:ascii="Times New Roman" w:hAnsi="Times New Roman" w:cs="Times New Roman"/>
                <w:sz w:val="20"/>
                <w:szCs w:val="20"/>
                <w:lang w:val="ro-MD"/>
              </w:rPr>
              <w:t>asupra domeniilor sale de competență.</w:t>
            </w:r>
          </w:p>
        </w:tc>
      </w:tr>
    </w:tbl>
    <w:p w14:paraId="3C3ACD32" w14:textId="77777777" w:rsidR="000B393A" w:rsidRPr="00483DC7" w:rsidRDefault="000B393A" w:rsidP="000B393A">
      <w:pPr>
        <w:jc w:val="center"/>
        <w:rPr>
          <w:rFonts w:ascii="Times New Roman" w:hAnsi="Times New Roman" w:cs="Times New Roman"/>
          <w:b/>
          <w:sz w:val="24"/>
          <w:szCs w:val="24"/>
          <w:lang w:val="ro-MD"/>
        </w:rPr>
      </w:pPr>
    </w:p>
    <w:p w14:paraId="36DECF21" w14:textId="77777777" w:rsidR="00C61DF3" w:rsidRPr="00483DC7" w:rsidRDefault="00C61DF3" w:rsidP="000B393A">
      <w:pPr>
        <w:pStyle w:val="Heading2"/>
        <w:spacing w:after="240"/>
        <w:rPr>
          <w:rFonts w:ascii="Times New Roman" w:hAnsi="Times New Roman" w:cs="Times New Roman"/>
          <w:b/>
          <w:color w:val="auto"/>
          <w:sz w:val="24"/>
          <w:szCs w:val="24"/>
          <w:lang w:val="ro-MD"/>
        </w:rPr>
      </w:pPr>
      <w:bookmarkStart w:id="29" w:name="_Toc180532867"/>
      <w:r w:rsidRPr="00483DC7">
        <w:rPr>
          <w:rFonts w:ascii="Times New Roman" w:hAnsi="Times New Roman" w:cs="Times New Roman"/>
          <w:b/>
          <w:color w:val="auto"/>
          <w:sz w:val="24"/>
          <w:szCs w:val="24"/>
          <w:lang w:val="ro-MD"/>
        </w:rPr>
        <w:br w:type="page"/>
      </w:r>
    </w:p>
    <w:p w14:paraId="1CBD0845" w14:textId="77777777" w:rsidR="00C61DF3" w:rsidRPr="00483DC7" w:rsidRDefault="00C61DF3" w:rsidP="00C61DF3">
      <w:pPr>
        <w:pStyle w:val="Heading2"/>
        <w:rPr>
          <w:rFonts w:ascii="Times New Roman" w:hAnsi="Times New Roman" w:cs="Times New Roman"/>
          <w:b/>
          <w:color w:val="auto"/>
          <w:sz w:val="24"/>
          <w:szCs w:val="24"/>
          <w:lang w:val="ro-MD"/>
        </w:rPr>
        <w:sectPr w:rsidR="00C61DF3" w:rsidRPr="00483DC7" w:rsidSect="00FA386E">
          <w:footerReference w:type="default" r:id="rId24"/>
          <w:pgSz w:w="12240" w:h="15840"/>
          <w:pgMar w:top="851" w:right="851" w:bottom="851" w:left="1701" w:header="720" w:footer="132" w:gutter="0"/>
          <w:cols w:space="720"/>
          <w:titlePg/>
          <w:docGrid w:linePitch="360"/>
        </w:sectPr>
      </w:pPr>
    </w:p>
    <w:p w14:paraId="1AF30C65" w14:textId="77777777" w:rsidR="00C61DF3" w:rsidRPr="00483DC7" w:rsidRDefault="00C61DF3" w:rsidP="00CC5CAB">
      <w:pPr>
        <w:pStyle w:val="Heading2"/>
        <w:spacing w:before="0"/>
        <w:rPr>
          <w:rFonts w:ascii="Times New Roman" w:hAnsi="Times New Roman" w:cs="Times New Roman"/>
          <w:color w:val="auto"/>
          <w:sz w:val="24"/>
          <w:szCs w:val="24"/>
          <w:lang w:val="ro-MD"/>
        </w:rPr>
      </w:pPr>
      <w:bookmarkStart w:id="30" w:name="_Toc185943226"/>
      <w:r w:rsidRPr="00483DC7">
        <w:rPr>
          <w:rFonts w:ascii="Times New Roman" w:hAnsi="Times New Roman" w:cs="Times New Roman"/>
          <w:b/>
          <w:color w:val="auto"/>
          <w:sz w:val="24"/>
          <w:szCs w:val="24"/>
          <w:lang w:val="ro-MD"/>
        </w:rPr>
        <w:lastRenderedPageBreak/>
        <w:t>Anexa nr.</w:t>
      </w:r>
      <w:r w:rsidR="00FC181C" w:rsidRPr="00483DC7">
        <w:rPr>
          <w:rFonts w:ascii="Times New Roman" w:hAnsi="Times New Roman" w:cs="Times New Roman"/>
          <w:b/>
          <w:color w:val="auto"/>
          <w:sz w:val="24"/>
          <w:szCs w:val="24"/>
          <w:lang w:val="ro-MD"/>
        </w:rPr>
        <w:t xml:space="preserve"> </w:t>
      </w:r>
      <w:r w:rsidRPr="00483DC7">
        <w:rPr>
          <w:rFonts w:ascii="Times New Roman" w:hAnsi="Times New Roman" w:cs="Times New Roman"/>
          <w:b/>
          <w:color w:val="auto"/>
          <w:sz w:val="24"/>
          <w:szCs w:val="24"/>
          <w:lang w:val="ro-MD"/>
        </w:rPr>
        <w:t xml:space="preserve">2: </w:t>
      </w:r>
      <w:r w:rsidR="00872395" w:rsidRPr="00483DC7">
        <w:rPr>
          <w:rFonts w:ascii="Times New Roman" w:hAnsi="Times New Roman" w:cs="Times New Roman"/>
          <w:color w:val="auto"/>
          <w:sz w:val="24"/>
          <w:szCs w:val="24"/>
          <w:lang w:val="ro-MD"/>
        </w:rPr>
        <w:t>A</w:t>
      </w:r>
      <w:r w:rsidRPr="00483DC7">
        <w:rPr>
          <w:rFonts w:ascii="Times New Roman" w:hAnsi="Times New Roman" w:cs="Times New Roman"/>
          <w:color w:val="auto"/>
          <w:sz w:val="24"/>
          <w:szCs w:val="24"/>
          <w:lang w:val="ro-MD"/>
        </w:rPr>
        <w:t>sistenț</w:t>
      </w:r>
      <w:r w:rsidR="00872395" w:rsidRPr="00483DC7">
        <w:rPr>
          <w:rFonts w:ascii="Times New Roman" w:hAnsi="Times New Roman" w:cs="Times New Roman"/>
          <w:color w:val="auto"/>
          <w:sz w:val="24"/>
          <w:szCs w:val="24"/>
          <w:lang w:val="ro-MD"/>
        </w:rPr>
        <w:t>a</w:t>
      </w:r>
      <w:r w:rsidRPr="00483DC7">
        <w:rPr>
          <w:rFonts w:ascii="Times New Roman" w:hAnsi="Times New Roman" w:cs="Times New Roman"/>
          <w:color w:val="auto"/>
          <w:sz w:val="24"/>
          <w:szCs w:val="24"/>
          <w:lang w:val="ro-MD"/>
        </w:rPr>
        <w:t xml:space="preserve"> extern</w:t>
      </w:r>
      <w:r w:rsidR="00872395" w:rsidRPr="00483DC7">
        <w:rPr>
          <w:rFonts w:ascii="Times New Roman" w:hAnsi="Times New Roman" w:cs="Times New Roman"/>
          <w:color w:val="auto"/>
          <w:sz w:val="24"/>
          <w:szCs w:val="24"/>
          <w:lang w:val="ro-MD"/>
        </w:rPr>
        <w:t>ă</w:t>
      </w:r>
      <w:r w:rsidRPr="00483DC7">
        <w:rPr>
          <w:rFonts w:ascii="Times New Roman" w:hAnsi="Times New Roman" w:cs="Times New Roman"/>
          <w:color w:val="auto"/>
          <w:sz w:val="24"/>
          <w:szCs w:val="24"/>
          <w:lang w:val="ro-MD"/>
        </w:rPr>
        <w:t xml:space="preserve"> </w:t>
      </w:r>
      <w:r w:rsidR="00C17167" w:rsidRPr="00483DC7">
        <w:rPr>
          <w:rFonts w:ascii="Times New Roman" w:hAnsi="Times New Roman" w:cs="Times New Roman"/>
          <w:color w:val="auto"/>
          <w:sz w:val="24"/>
          <w:szCs w:val="24"/>
          <w:lang w:val="ro-MD"/>
        </w:rPr>
        <w:t>primit</w:t>
      </w:r>
      <w:r w:rsidR="00872395" w:rsidRPr="00483DC7">
        <w:rPr>
          <w:rFonts w:ascii="Times New Roman" w:hAnsi="Times New Roman" w:cs="Times New Roman"/>
          <w:color w:val="auto"/>
          <w:sz w:val="24"/>
          <w:szCs w:val="24"/>
          <w:lang w:val="ro-MD"/>
        </w:rPr>
        <w:t>ă</w:t>
      </w:r>
      <w:r w:rsidR="0055386B" w:rsidRPr="00483DC7">
        <w:rPr>
          <w:rFonts w:ascii="Times New Roman" w:hAnsi="Times New Roman" w:cs="Times New Roman"/>
          <w:color w:val="auto"/>
          <w:sz w:val="24"/>
          <w:szCs w:val="24"/>
          <w:lang w:val="ro-MD"/>
        </w:rPr>
        <w:t xml:space="preserve"> pentru proiectele investiționale din sectorul public</w:t>
      </w:r>
      <w:bookmarkEnd w:id="30"/>
    </w:p>
    <w:tbl>
      <w:tblPr>
        <w:tblStyle w:val="TableGrid"/>
        <w:tblW w:w="14601" w:type="dxa"/>
        <w:tblInd w:w="-289" w:type="dxa"/>
        <w:tblLayout w:type="fixed"/>
        <w:tblLook w:val="04A0" w:firstRow="1" w:lastRow="0" w:firstColumn="1" w:lastColumn="0" w:noHBand="0" w:noVBand="1"/>
      </w:tblPr>
      <w:tblGrid>
        <w:gridCol w:w="816"/>
        <w:gridCol w:w="8115"/>
        <w:gridCol w:w="1276"/>
        <w:gridCol w:w="1276"/>
        <w:gridCol w:w="1275"/>
        <w:gridCol w:w="1843"/>
      </w:tblGrid>
      <w:tr w:rsidR="007D2294" w:rsidRPr="00483DC7" w14:paraId="253F4F4B" w14:textId="77777777" w:rsidTr="00533781">
        <w:trPr>
          <w:trHeight w:val="260"/>
        </w:trPr>
        <w:tc>
          <w:tcPr>
            <w:tcW w:w="14601" w:type="dxa"/>
            <w:gridSpan w:val="6"/>
            <w:tcBorders>
              <w:top w:val="single" w:sz="4" w:space="0" w:color="FFFFFF"/>
              <w:left w:val="single" w:sz="4" w:space="0" w:color="FFFFFF"/>
              <w:right w:val="single" w:sz="4" w:space="0" w:color="FFFFFF" w:themeColor="background1"/>
            </w:tcBorders>
            <w:shd w:val="clear" w:color="auto" w:fill="auto"/>
            <w:vAlign w:val="center"/>
          </w:tcPr>
          <w:p w14:paraId="792F438C" w14:textId="14415F9F" w:rsidR="007D2294" w:rsidRPr="00483DC7" w:rsidRDefault="007D2294" w:rsidP="00C624F9">
            <w:pPr>
              <w:spacing w:before="240" w:line="276" w:lineRule="auto"/>
              <w:jc w:val="center"/>
              <w:rPr>
                <w:rFonts w:ascii="Times New Roman" w:hAnsi="Times New Roman" w:cs="Times New Roman"/>
                <w:b/>
                <w:bCs/>
                <w:lang w:val="ro-MD" w:eastAsia="ru-RU"/>
              </w:rPr>
            </w:pPr>
            <w:r w:rsidRPr="00483DC7">
              <w:rPr>
                <w:rFonts w:ascii="Times New Roman" w:hAnsi="Times New Roman" w:cs="Times New Roman"/>
                <w:b/>
                <w:bCs/>
                <w:lang w:val="ro-MD" w:eastAsia="ru-RU"/>
              </w:rPr>
              <w:t>Valoarea asistenței externe primite în perioada 2022 - 2023</w:t>
            </w:r>
          </w:p>
        </w:tc>
      </w:tr>
      <w:tr w:rsidR="00C61DF3" w:rsidRPr="00483DC7" w14:paraId="469B90E3" w14:textId="77777777" w:rsidTr="00052721">
        <w:tc>
          <w:tcPr>
            <w:tcW w:w="816" w:type="dxa"/>
            <w:vMerge w:val="restart"/>
            <w:shd w:val="clear" w:color="auto" w:fill="DEEAF6" w:themeFill="accent1" w:themeFillTint="33"/>
            <w:vAlign w:val="center"/>
          </w:tcPr>
          <w:p w14:paraId="08D1A66C"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Cod Eco</w:t>
            </w:r>
          </w:p>
        </w:tc>
        <w:tc>
          <w:tcPr>
            <w:tcW w:w="8115" w:type="dxa"/>
            <w:vMerge w:val="restart"/>
            <w:shd w:val="clear" w:color="auto" w:fill="DEEAF6" w:themeFill="accent1" w:themeFillTint="33"/>
            <w:vAlign w:val="center"/>
          </w:tcPr>
          <w:p w14:paraId="6DEA3D38"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Indicator</w:t>
            </w:r>
          </w:p>
        </w:tc>
        <w:tc>
          <w:tcPr>
            <w:tcW w:w="3827" w:type="dxa"/>
            <w:gridSpan w:val="3"/>
            <w:shd w:val="clear" w:color="auto" w:fill="DEEAF6" w:themeFill="accent1" w:themeFillTint="33"/>
            <w:vAlign w:val="center"/>
          </w:tcPr>
          <w:p w14:paraId="4E3B9231"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Debursări executate (mii lei):</w:t>
            </w:r>
          </w:p>
        </w:tc>
        <w:tc>
          <w:tcPr>
            <w:tcW w:w="1843" w:type="dxa"/>
            <w:vMerge w:val="restart"/>
            <w:shd w:val="clear" w:color="auto" w:fill="DEEAF6" w:themeFill="accent1" w:themeFillTint="33"/>
            <w:vAlign w:val="center"/>
          </w:tcPr>
          <w:p w14:paraId="5E643D96" w14:textId="77777777" w:rsidR="00C61DF3" w:rsidRPr="00483DC7" w:rsidRDefault="00C61DF3" w:rsidP="00052721">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 xml:space="preserve">Ponderea în Total </w:t>
            </w:r>
            <w:r w:rsidR="00CE5D28" w:rsidRPr="00483DC7">
              <w:rPr>
                <w:rFonts w:ascii="Times New Roman" w:hAnsi="Times New Roman" w:cs="Times New Roman"/>
                <w:b/>
                <w:bCs/>
                <w:sz w:val="18"/>
                <w:szCs w:val="18"/>
                <w:lang w:val="ro-MD" w:eastAsia="ru-RU"/>
              </w:rPr>
              <w:t xml:space="preserve">Cumulativ </w:t>
            </w:r>
            <w:r w:rsidRPr="00483DC7">
              <w:rPr>
                <w:rFonts w:ascii="Times New Roman" w:hAnsi="Times New Roman" w:cs="Times New Roman"/>
                <w:b/>
                <w:bCs/>
                <w:sz w:val="18"/>
                <w:szCs w:val="18"/>
                <w:lang w:val="ro-MD" w:eastAsia="ru-RU"/>
              </w:rPr>
              <w:t>(%)</w:t>
            </w:r>
          </w:p>
        </w:tc>
      </w:tr>
      <w:tr w:rsidR="00C61DF3" w:rsidRPr="00483DC7" w14:paraId="6ED9FD4F" w14:textId="77777777" w:rsidTr="00052721">
        <w:trPr>
          <w:trHeight w:val="393"/>
        </w:trPr>
        <w:tc>
          <w:tcPr>
            <w:tcW w:w="816" w:type="dxa"/>
            <w:vMerge/>
            <w:shd w:val="clear" w:color="auto" w:fill="DEEAF6" w:themeFill="accent1" w:themeFillTint="33"/>
            <w:vAlign w:val="center"/>
          </w:tcPr>
          <w:p w14:paraId="591235CC"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p>
        </w:tc>
        <w:tc>
          <w:tcPr>
            <w:tcW w:w="8115" w:type="dxa"/>
            <w:vMerge/>
            <w:shd w:val="clear" w:color="auto" w:fill="DEEAF6" w:themeFill="accent1" w:themeFillTint="33"/>
            <w:vAlign w:val="center"/>
          </w:tcPr>
          <w:p w14:paraId="2AA6AB14"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p>
        </w:tc>
        <w:tc>
          <w:tcPr>
            <w:tcW w:w="1276" w:type="dxa"/>
            <w:shd w:val="clear" w:color="auto" w:fill="DEEAF6" w:themeFill="accent1" w:themeFillTint="33"/>
            <w:vAlign w:val="center"/>
          </w:tcPr>
          <w:p w14:paraId="56FDDB2E" w14:textId="5B563126" w:rsidR="00C61DF3" w:rsidRPr="00483DC7" w:rsidRDefault="00C624F9" w:rsidP="00571B0F">
            <w:pPr>
              <w:spacing w:line="276" w:lineRule="auto"/>
              <w:jc w:val="center"/>
              <w:rPr>
                <w:rFonts w:ascii="Times New Roman" w:hAnsi="Times New Roman" w:cs="Times New Roman"/>
                <w:b/>
                <w:bCs/>
                <w:sz w:val="18"/>
                <w:szCs w:val="18"/>
                <w:lang w:val="ro-MD" w:eastAsia="ru-RU"/>
              </w:rPr>
            </w:pPr>
            <w:r>
              <w:rPr>
                <w:rFonts w:ascii="Times New Roman" w:hAnsi="Times New Roman" w:cs="Times New Roman"/>
                <w:b/>
                <w:bCs/>
                <w:sz w:val="18"/>
                <w:szCs w:val="18"/>
                <w:lang w:val="ro-MD" w:eastAsia="ru-RU"/>
              </w:rPr>
              <w:t>a</w:t>
            </w:r>
            <w:r w:rsidR="00C61DF3" w:rsidRPr="00483DC7">
              <w:rPr>
                <w:rFonts w:ascii="Times New Roman" w:hAnsi="Times New Roman" w:cs="Times New Roman"/>
                <w:b/>
                <w:bCs/>
                <w:sz w:val="18"/>
                <w:szCs w:val="18"/>
                <w:lang w:val="ro-MD" w:eastAsia="ru-RU"/>
              </w:rPr>
              <w:t>nul 2022</w:t>
            </w:r>
          </w:p>
        </w:tc>
        <w:tc>
          <w:tcPr>
            <w:tcW w:w="1276" w:type="dxa"/>
            <w:shd w:val="clear" w:color="auto" w:fill="DEEAF6" w:themeFill="accent1" w:themeFillTint="33"/>
            <w:vAlign w:val="center"/>
          </w:tcPr>
          <w:p w14:paraId="63CE6766" w14:textId="2BAB7539" w:rsidR="00C61DF3" w:rsidRPr="00483DC7" w:rsidRDefault="00C624F9" w:rsidP="00571B0F">
            <w:pPr>
              <w:spacing w:line="276" w:lineRule="auto"/>
              <w:jc w:val="center"/>
              <w:rPr>
                <w:rFonts w:ascii="Times New Roman" w:hAnsi="Times New Roman" w:cs="Times New Roman"/>
                <w:b/>
                <w:bCs/>
                <w:sz w:val="18"/>
                <w:szCs w:val="18"/>
                <w:lang w:val="ro-MD" w:eastAsia="ru-RU"/>
              </w:rPr>
            </w:pPr>
            <w:r>
              <w:rPr>
                <w:rFonts w:ascii="Times New Roman" w:hAnsi="Times New Roman" w:cs="Times New Roman"/>
                <w:b/>
                <w:bCs/>
                <w:sz w:val="18"/>
                <w:szCs w:val="18"/>
                <w:lang w:val="ro-MD" w:eastAsia="ru-RU"/>
              </w:rPr>
              <w:t>a</w:t>
            </w:r>
            <w:r w:rsidR="00C61DF3" w:rsidRPr="00483DC7">
              <w:rPr>
                <w:rFonts w:ascii="Times New Roman" w:hAnsi="Times New Roman" w:cs="Times New Roman"/>
                <w:b/>
                <w:bCs/>
                <w:sz w:val="18"/>
                <w:szCs w:val="18"/>
                <w:lang w:val="ro-MD" w:eastAsia="ru-RU"/>
              </w:rPr>
              <w:t>nul 2023</w:t>
            </w:r>
          </w:p>
        </w:tc>
        <w:tc>
          <w:tcPr>
            <w:tcW w:w="1275" w:type="dxa"/>
            <w:shd w:val="clear" w:color="auto" w:fill="DEEAF6" w:themeFill="accent1" w:themeFillTint="33"/>
            <w:vAlign w:val="center"/>
          </w:tcPr>
          <w:p w14:paraId="00619F48" w14:textId="19920D37" w:rsidR="00C61DF3" w:rsidRPr="00483DC7" w:rsidRDefault="00C624F9" w:rsidP="00571B0F">
            <w:pPr>
              <w:spacing w:line="276" w:lineRule="auto"/>
              <w:jc w:val="center"/>
              <w:rPr>
                <w:rFonts w:ascii="Times New Roman" w:hAnsi="Times New Roman" w:cs="Times New Roman"/>
                <w:b/>
                <w:bCs/>
                <w:sz w:val="18"/>
                <w:szCs w:val="18"/>
                <w:lang w:val="ro-MD" w:eastAsia="ru-RU"/>
              </w:rPr>
            </w:pPr>
            <w:r>
              <w:rPr>
                <w:rFonts w:ascii="Times New Roman" w:hAnsi="Times New Roman" w:cs="Times New Roman"/>
                <w:b/>
                <w:bCs/>
                <w:sz w:val="18"/>
                <w:szCs w:val="18"/>
                <w:lang w:val="ro-MD" w:eastAsia="ru-RU"/>
              </w:rPr>
              <w:t>c</w:t>
            </w:r>
            <w:r w:rsidR="00C61DF3" w:rsidRPr="00483DC7">
              <w:rPr>
                <w:rFonts w:ascii="Times New Roman" w:hAnsi="Times New Roman" w:cs="Times New Roman"/>
                <w:b/>
                <w:bCs/>
                <w:sz w:val="18"/>
                <w:szCs w:val="18"/>
                <w:lang w:val="ro-MD" w:eastAsia="ru-RU"/>
              </w:rPr>
              <w:t>umulativ 2022-2023</w:t>
            </w:r>
          </w:p>
        </w:tc>
        <w:tc>
          <w:tcPr>
            <w:tcW w:w="1843" w:type="dxa"/>
            <w:vMerge/>
            <w:shd w:val="clear" w:color="auto" w:fill="DEEAF6" w:themeFill="accent1" w:themeFillTint="33"/>
          </w:tcPr>
          <w:p w14:paraId="3C283DDC"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p>
        </w:tc>
      </w:tr>
      <w:tr w:rsidR="00C61DF3" w:rsidRPr="00483DC7" w14:paraId="1A590172" w14:textId="77777777" w:rsidTr="00052721">
        <w:tc>
          <w:tcPr>
            <w:tcW w:w="816" w:type="dxa"/>
          </w:tcPr>
          <w:p w14:paraId="3BD7A680"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13</w:t>
            </w:r>
          </w:p>
        </w:tc>
        <w:tc>
          <w:tcPr>
            <w:tcW w:w="8115" w:type="dxa"/>
          </w:tcPr>
          <w:p w14:paraId="5B1B5E6E" w14:textId="77777777" w:rsidR="00C61DF3" w:rsidRPr="00483DC7" w:rsidRDefault="00C61DF3" w:rsidP="00571B0F">
            <w:pPr>
              <w:spacing w:line="276" w:lineRule="auto"/>
              <w:jc w:val="both"/>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TOTAL GRANTURI PRIMITE</w:t>
            </w:r>
          </w:p>
        </w:tc>
        <w:tc>
          <w:tcPr>
            <w:tcW w:w="1276" w:type="dxa"/>
          </w:tcPr>
          <w:p w14:paraId="44028B4F" w14:textId="77777777" w:rsidR="00C61DF3" w:rsidRPr="00483DC7" w:rsidRDefault="00C61DF3"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521.378,88</w:t>
            </w:r>
          </w:p>
        </w:tc>
        <w:tc>
          <w:tcPr>
            <w:tcW w:w="1276" w:type="dxa"/>
          </w:tcPr>
          <w:p w14:paraId="30A73E60" w14:textId="77777777" w:rsidR="00C61DF3" w:rsidRPr="00483DC7" w:rsidRDefault="00C61DF3"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680.330,50</w:t>
            </w:r>
          </w:p>
        </w:tc>
        <w:tc>
          <w:tcPr>
            <w:tcW w:w="1275" w:type="dxa"/>
          </w:tcPr>
          <w:p w14:paraId="1B10B933" w14:textId="77777777" w:rsidR="00C61DF3" w:rsidRPr="00483DC7" w:rsidRDefault="007D2294"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1.201.709,38</w:t>
            </w:r>
          </w:p>
        </w:tc>
        <w:tc>
          <w:tcPr>
            <w:tcW w:w="1843" w:type="dxa"/>
          </w:tcPr>
          <w:p w14:paraId="6B9DA893" w14:textId="77777777" w:rsidR="00C61DF3" w:rsidRPr="00483DC7" w:rsidRDefault="00C61DF3" w:rsidP="00571B0F">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8,24</w:t>
            </w:r>
          </w:p>
        </w:tc>
      </w:tr>
      <w:tr w:rsidR="00C61DF3" w:rsidRPr="00483DC7" w14:paraId="2B261FF7" w14:textId="77777777" w:rsidTr="00052721">
        <w:tc>
          <w:tcPr>
            <w:tcW w:w="816" w:type="dxa"/>
          </w:tcPr>
          <w:p w14:paraId="63993792"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131121</w:t>
            </w:r>
          </w:p>
        </w:tc>
        <w:tc>
          <w:tcPr>
            <w:tcW w:w="8115" w:type="dxa"/>
          </w:tcPr>
          <w:p w14:paraId="07F5CEFC"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Granturi curente</w:t>
            </w:r>
            <w:r w:rsidR="007D2294" w:rsidRPr="00483DC7">
              <w:rPr>
                <w:rFonts w:ascii="Times New Roman" w:hAnsi="Times New Roman" w:cs="Times New Roman"/>
                <w:bCs/>
                <w:sz w:val="18"/>
                <w:szCs w:val="18"/>
                <w:lang w:val="ro-MD" w:eastAsia="ru-RU"/>
              </w:rPr>
              <w:t xml:space="preserve"> primite</w:t>
            </w:r>
            <w:r w:rsidRPr="00483DC7">
              <w:rPr>
                <w:rFonts w:ascii="Times New Roman" w:hAnsi="Times New Roman" w:cs="Times New Roman"/>
                <w:bCs/>
                <w:sz w:val="18"/>
                <w:szCs w:val="18"/>
                <w:lang w:val="ro-MD" w:eastAsia="ru-RU"/>
              </w:rPr>
              <w:t xml:space="preserve"> de la guvernele altor state</w:t>
            </w:r>
            <w:r w:rsidR="007D2294" w:rsidRPr="00483DC7">
              <w:rPr>
                <w:rFonts w:ascii="Times New Roman" w:hAnsi="Times New Roman" w:cs="Times New Roman"/>
                <w:bCs/>
                <w:sz w:val="18"/>
                <w:szCs w:val="18"/>
                <w:lang w:val="ro-MD" w:eastAsia="ru-RU"/>
              </w:rPr>
              <w:t xml:space="preserve"> pentru proiecte finanțate din surse externe</w:t>
            </w:r>
          </w:p>
        </w:tc>
        <w:tc>
          <w:tcPr>
            <w:tcW w:w="1276" w:type="dxa"/>
          </w:tcPr>
          <w:p w14:paraId="7C123F15"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4.825,36</w:t>
            </w:r>
          </w:p>
        </w:tc>
        <w:tc>
          <w:tcPr>
            <w:tcW w:w="1276" w:type="dxa"/>
          </w:tcPr>
          <w:p w14:paraId="630B08E8"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5.990,97</w:t>
            </w:r>
          </w:p>
        </w:tc>
        <w:tc>
          <w:tcPr>
            <w:tcW w:w="1275" w:type="dxa"/>
          </w:tcPr>
          <w:p w14:paraId="396184EC"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10.816,33</w:t>
            </w:r>
          </w:p>
        </w:tc>
        <w:tc>
          <w:tcPr>
            <w:tcW w:w="1843" w:type="dxa"/>
          </w:tcPr>
          <w:p w14:paraId="6D352700"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0,07</w:t>
            </w:r>
          </w:p>
        </w:tc>
      </w:tr>
      <w:tr w:rsidR="00C61DF3" w:rsidRPr="00483DC7" w14:paraId="194C325D" w14:textId="77777777" w:rsidTr="00052721">
        <w:tc>
          <w:tcPr>
            <w:tcW w:w="816" w:type="dxa"/>
          </w:tcPr>
          <w:p w14:paraId="70A50F09"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131221</w:t>
            </w:r>
          </w:p>
        </w:tc>
        <w:tc>
          <w:tcPr>
            <w:tcW w:w="8115" w:type="dxa"/>
          </w:tcPr>
          <w:p w14:paraId="073EB0FA"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Granturi capitale</w:t>
            </w:r>
            <w:r w:rsidR="007D2294" w:rsidRPr="00483DC7">
              <w:rPr>
                <w:rFonts w:ascii="Times New Roman" w:hAnsi="Times New Roman" w:cs="Times New Roman"/>
                <w:bCs/>
                <w:sz w:val="18"/>
                <w:szCs w:val="18"/>
                <w:lang w:val="ro-MD" w:eastAsia="ru-RU"/>
              </w:rPr>
              <w:t xml:space="preserve"> primite</w:t>
            </w:r>
            <w:r w:rsidRPr="00483DC7">
              <w:rPr>
                <w:rFonts w:ascii="Times New Roman" w:hAnsi="Times New Roman" w:cs="Times New Roman"/>
                <w:bCs/>
                <w:sz w:val="18"/>
                <w:szCs w:val="18"/>
                <w:lang w:val="ro-MD" w:eastAsia="ru-RU"/>
              </w:rPr>
              <w:t xml:space="preserve"> de la guvernele altor state</w:t>
            </w:r>
            <w:r w:rsidR="007D2294" w:rsidRPr="00483DC7">
              <w:rPr>
                <w:rFonts w:ascii="Times New Roman" w:hAnsi="Times New Roman" w:cs="Times New Roman"/>
                <w:bCs/>
                <w:sz w:val="18"/>
                <w:szCs w:val="18"/>
                <w:lang w:val="ro-MD" w:eastAsia="ru-RU"/>
              </w:rPr>
              <w:t xml:space="preserve"> pentru proiecte finanțate din surse externe</w:t>
            </w:r>
          </w:p>
        </w:tc>
        <w:tc>
          <w:tcPr>
            <w:tcW w:w="1276" w:type="dxa"/>
          </w:tcPr>
          <w:p w14:paraId="0B181F18"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0,00</w:t>
            </w:r>
          </w:p>
        </w:tc>
        <w:tc>
          <w:tcPr>
            <w:tcW w:w="1276" w:type="dxa"/>
          </w:tcPr>
          <w:p w14:paraId="376D9F01"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199.311,50</w:t>
            </w:r>
          </w:p>
        </w:tc>
        <w:tc>
          <w:tcPr>
            <w:tcW w:w="1275" w:type="dxa"/>
          </w:tcPr>
          <w:p w14:paraId="0379C78D"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199.311,50</w:t>
            </w:r>
          </w:p>
        </w:tc>
        <w:tc>
          <w:tcPr>
            <w:tcW w:w="1843" w:type="dxa"/>
          </w:tcPr>
          <w:p w14:paraId="71E92C0F"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1,37</w:t>
            </w:r>
          </w:p>
        </w:tc>
      </w:tr>
      <w:tr w:rsidR="00C61DF3" w:rsidRPr="00483DC7" w14:paraId="259698CC" w14:textId="77777777" w:rsidTr="00052721">
        <w:tc>
          <w:tcPr>
            <w:tcW w:w="816" w:type="dxa"/>
          </w:tcPr>
          <w:p w14:paraId="1B34D774"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132121</w:t>
            </w:r>
          </w:p>
        </w:tc>
        <w:tc>
          <w:tcPr>
            <w:tcW w:w="8115" w:type="dxa"/>
          </w:tcPr>
          <w:p w14:paraId="553A436C"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Granturi curente</w:t>
            </w:r>
            <w:r w:rsidR="007D2294" w:rsidRPr="00483DC7">
              <w:rPr>
                <w:rFonts w:ascii="Times New Roman" w:hAnsi="Times New Roman" w:cs="Times New Roman"/>
                <w:bCs/>
                <w:sz w:val="18"/>
                <w:szCs w:val="18"/>
                <w:lang w:val="ro-MD" w:eastAsia="ru-RU"/>
              </w:rPr>
              <w:t xml:space="preserve"> primite</w:t>
            </w:r>
            <w:r w:rsidRPr="00483DC7">
              <w:rPr>
                <w:rFonts w:ascii="Times New Roman" w:hAnsi="Times New Roman" w:cs="Times New Roman"/>
                <w:bCs/>
                <w:sz w:val="18"/>
                <w:szCs w:val="18"/>
                <w:lang w:val="ro-MD" w:eastAsia="ru-RU"/>
              </w:rPr>
              <w:t xml:space="preserve"> de la organizațiile internaționale</w:t>
            </w:r>
            <w:r w:rsidR="007D2294" w:rsidRPr="00483DC7">
              <w:rPr>
                <w:rFonts w:ascii="Times New Roman" w:hAnsi="Times New Roman" w:cs="Times New Roman"/>
                <w:bCs/>
                <w:sz w:val="18"/>
                <w:szCs w:val="18"/>
                <w:lang w:val="ro-MD" w:eastAsia="ru-RU"/>
              </w:rPr>
              <w:t xml:space="preserve"> pentru proiecte finanțate din surse externe</w:t>
            </w:r>
          </w:p>
        </w:tc>
        <w:tc>
          <w:tcPr>
            <w:tcW w:w="1276" w:type="dxa"/>
          </w:tcPr>
          <w:p w14:paraId="37396E9C"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369.601,00</w:t>
            </w:r>
          </w:p>
        </w:tc>
        <w:tc>
          <w:tcPr>
            <w:tcW w:w="1276" w:type="dxa"/>
          </w:tcPr>
          <w:p w14:paraId="3155317C"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298.238,07</w:t>
            </w:r>
          </w:p>
        </w:tc>
        <w:tc>
          <w:tcPr>
            <w:tcW w:w="1275" w:type="dxa"/>
          </w:tcPr>
          <w:p w14:paraId="2C584195"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667.839,07</w:t>
            </w:r>
          </w:p>
        </w:tc>
        <w:tc>
          <w:tcPr>
            <w:tcW w:w="1843" w:type="dxa"/>
          </w:tcPr>
          <w:p w14:paraId="50D8BB4F"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4,58</w:t>
            </w:r>
          </w:p>
        </w:tc>
      </w:tr>
      <w:tr w:rsidR="00C61DF3" w:rsidRPr="00483DC7" w14:paraId="16AB29E5" w14:textId="77777777" w:rsidTr="00052721">
        <w:tc>
          <w:tcPr>
            <w:tcW w:w="816" w:type="dxa"/>
          </w:tcPr>
          <w:p w14:paraId="1D708E72"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132221</w:t>
            </w:r>
          </w:p>
        </w:tc>
        <w:tc>
          <w:tcPr>
            <w:tcW w:w="8115" w:type="dxa"/>
          </w:tcPr>
          <w:p w14:paraId="02157812"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Granturi capitale</w:t>
            </w:r>
            <w:r w:rsidR="007D2294" w:rsidRPr="00483DC7">
              <w:rPr>
                <w:rFonts w:ascii="Times New Roman" w:hAnsi="Times New Roman" w:cs="Times New Roman"/>
                <w:bCs/>
                <w:sz w:val="18"/>
                <w:szCs w:val="18"/>
                <w:lang w:val="ro-MD" w:eastAsia="ru-RU"/>
              </w:rPr>
              <w:t xml:space="preserve"> primite</w:t>
            </w:r>
            <w:r w:rsidRPr="00483DC7">
              <w:rPr>
                <w:rFonts w:ascii="Times New Roman" w:hAnsi="Times New Roman" w:cs="Times New Roman"/>
                <w:bCs/>
                <w:sz w:val="18"/>
                <w:szCs w:val="18"/>
                <w:lang w:val="ro-MD" w:eastAsia="ru-RU"/>
              </w:rPr>
              <w:t xml:space="preserve"> de la organizațiile internaționale</w:t>
            </w:r>
            <w:r w:rsidR="007D2294" w:rsidRPr="00483DC7">
              <w:rPr>
                <w:rFonts w:ascii="Times New Roman" w:hAnsi="Times New Roman" w:cs="Times New Roman"/>
                <w:bCs/>
                <w:sz w:val="18"/>
                <w:szCs w:val="18"/>
                <w:lang w:val="ro-MD" w:eastAsia="ru-RU"/>
              </w:rPr>
              <w:t xml:space="preserve"> pentru proiecte finanțate din surse externe</w:t>
            </w:r>
          </w:p>
        </w:tc>
        <w:tc>
          <w:tcPr>
            <w:tcW w:w="1276" w:type="dxa"/>
          </w:tcPr>
          <w:p w14:paraId="0CABF70D"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146.952,52</w:t>
            </w:r>
          </w:p>
        </w:tc>
        <w:tc>
          <w:tcPr>
            <w:tcW w:w="1276" w:type="dxa"/>
          </w:tcPr>
          <w:p w14:paraId="3C315D28"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176.789,96</w:t>
            </w:r>
          </w:p>
        </w:tc>
        <w:tc>
          <w:tcPr>
            <w:tcW w:w="1275" w:type="dxa"/>
          </w:tcPr>
          <w:p w14:paraId="4CCF912D"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323.742,48</w:t>
            </w:r>
          </w:p>
        </w:tc>
        <w:tc>
          <w:tcPr>
            <w:tcW w:w="1843" w:type="dxa"/>
          </w:tcPr>
          <w:p w14:paraId="52014B1B"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2,22</w:t>
            </w:r>
          </w:p>
        </w:tc>
      </w:tr>
      <w:tr w:rsidR="00C61DF3" w:rsidRPr="00483DC7" w14:paraId="7592B1A3" w14:textId="77777777" w:rsidTr="00052721">
        <w:tc>
          <w:tcPr>
            <w:tcW w:w="816" w:type="dxa"/>
          </w:tcPr>
          <w:p w14:paraId="3F72FCED"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59</w:t>
            </w:r>
          </w:p>
        </w:tc>
        <w:tc>
          <w:tcPr>
            <w:tcW w:w="8115" w:type="dxa"/>
          </w:tcPr>
          <w:p w14:paraId="395DD58F" w14:textId="77777777" w:rsidR="00C61DF3" w:rsidRPr="00483DC7" w:rsidRDefault="00C61DF3" w:rsidP="00571B0F">
            <w:pPr>
              <w:spacing w:line="276" w:lineRule="auto"/>
              <w:jc w:val="both"/>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TOTAL ÎMPRUMUTURI EXTERNE</w:t>
            </w:r>
          </w:p>
        </w:tc>
        <w:tc>
          <w:tcPr>
            <w:tcW w:w="1276" w:type="dxa"/>
          </w:tcPr>
          <w:p w14:paraId="5FD69109" w14:textId="77777777" w:rsidR="00C61DF3" w:rsidRPr="00483DC7" w:rsidRDefault="00C61DF3"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6.092.005,30</w:t>
            </w:r>
          </w:p>
        </w:tc>
        <w:tc>
          <w:tcPr>
            <w:tcW w:w="1276" w:type="dxa"/>
          </w:tcPr>
          <w:p w14:paraId="4586E80D" w14:textId="77777777" w:rsidR="00C61DF3" w:rsidRPr="00483DC7" w:rsidRDefault="007D2294"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7.283.685,20</w:t>
            </w:r>
          </w:p>
        </w:tc>
        <w:tc>
          <w:tcPr>
            <w:tcW w:w="1275" w:type="dxa"/>
          </w:tcPr>
          <w:p w14:paraId="63811622" w14:textId="77777777" w:rsidR="00C61DF3" w:rsidRPr="00483DC7" w:rsidRDefault="007D2294"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13.375.690,50</w:t>
            </w:r>
          </w:p>
        </w:tc>
        <w:tc>
          <w:tcPr>
            <w:tcW w:w="1843" w:type="dxa"/>
          </w:tcPr>
          <w:p w14:paraId="6A3B0744" w14:textId="77777777" w:rsidR="00C61DF3" w:rsidRPr="00483DC7" w:rsidRDefault="00C61DF3" w:rsidP="00571B0F">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91,76</w:t>
            </w:r>
          </w:p>
        </w:tc>
      </w:tr>
      <w:tr w:rsidR="00C61DF3" w:rsidRPr="00483DC7" w14:paraId="7FF8E7E0" w14:textId="77777777" w:rsidTr="00052721">
        <w:tc>
          <w:tcPr>
            <w:tcW w:w="816" w:type="dxa"/>
          </w:tcPr>
          <w:p w14:paraId="17B5B6AC" w14:textId="77777777" w:rsidR="00C61DF3" w:rsidRPr="00483DC7" w:rsidRDefault="00C61DF3" w:rsidP="00571B0F">
            <w:pPr>
              <w:spacing w:line="276" w:lineRule="auto"/>
              <w:jc w:val="center"/>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595310</w:t>
            </w:r>
          </w:p>
        </w:tc>
        <w:tc>
          <w:tcPr>
            <w:tcW w:w="8115" w:type="dxa"/>
          </w:tcPr>
          <w:p w14:paraId="312DB316"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Împrumuturi</w:t>
            </w:r>
            <w:r w:rsidR="007D2294" w:rsidRPr="00483DC7">
              <w:rPr>
                <w:rFonts w:ascii="Times New Roman" w:hAnsi="Times New Roman" w:cs="Times New Roman"/>
                <w:bCs/>
                <w:sz w:val="18"/>
                <w:szCs w:val="18"/>
                <w:lang w:val="ro-MD" w:eastAsia="ru-RU"/>
              </w:rPr>
              <w:t xml:space="preserve"> externe pentru proiecte finanțate din surse externe</w:t>
            </w:r>
            <w:r w:rsidRPr="00483DC7">
              <w:rPr>
                <w:rFonts w:ascii="Times New Roman" w:hAnsi="Times New Roman" w:cs="Times New Roman"/>
                <w:bCs/>
                <w:sz w:val="18"/>
                <w:szCs w:val="18"/>
                <w:lang w:val="ro-MD" w:eastAsia="ru-RU"/>
              </w:rPr>
              <w:t xml:space="preserve"> de la alte state</w:t>
            </w:r>
          </w:p>
        </w:tc>
        <w:tc>
          <w:tcPr>
            <w:tcW w:w="1276" w:type="dxa"/>
          </w:tcPr>
          <w:p w14:paraId="413C1B39"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0,00</w:t>
            </w:r>
          </w:p>
        </w:tc>
        <w:tc>
          <w:tcPr>
            <w:tcW w:w="1276" w:type="dxa"/>
          </w:tcPr>
          <w:p w14:paraId="39ED3771"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40.570,00</w:t>
            </w:r>
          </w:p>
        </w:tc>
        <w:tc>
          <w:tcPr>
            <w:tcW w:w="1275" w:type="dxa"/>
          </w:tcPr>
          <w:p w14:paraId="5C74CCCE"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40.570,00</w:t>
            </w:r>
          </w:p>
        </w:tc>
        <w:tc>
          <w:tcPr>
            <w:tcW w:w="1843" w:type="dxa"/>
          </w:tcPr>
          <w:p w14:paraId="07E1E41D"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0,28</w:t>
            </w:r>
          </w:p>
        </w:tc>
      </w:tr>
      <w:tr w:rsidR="00C61DF3" w:rsidRPr="00483DC7" w14:paraId="3B684AE4" w14:textId="77777777" w:rsidTr="00052721">
        <w:tc>
          <w:tcPr>
            <w:tcW w:w="816" w:type="dxa"/>
          </w:tcPr>
          <w:p w14:paraId="0AE47730" w14:textId="77777777" w:rsidR="00C61DF3" w:rsidRPr="00483DC7" w:rsidRDefault="00C61DF3" w:rsidP="00571B0F">
            <w:pPr>
              <w:spacing w:line="276" w:lineRule="auto"/>
              <w:jc w:val="center"/>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595410</w:t>
            </w:r>
          </w:p>
        </w:tc>
        <w:tc>
          <w:tcPr>
            <w:tcW w:w="8115" w:type="dxa"/>
          </w:tcPr>
          <w:p w14:paraId="79BD14D2" w14:textId="77777777" w:rsidR="00C61DF3" w:rsidRPr="00483DC7" w:rsidRDefault="00C61DF3" w:rsidP="00571B0F">
            <w:pPr>
              <w:spacing w:line="276" w:lineRule="auto"/>
              <w:jc w:val="both"/>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Împrumuturi</w:t>
            </w:r>
            <w:r w:rsidR="007D2294" w:rsidRPr="00483DC7">
              <w:rPr>
                <w:rFonts w:ascii="Times New Roman" w:hAnsi="Times New Roman" w:cs="Times New Roman"/>
                <w:bCs/>
                <w:sz w:val="18"/>
                <w:szCs w:val="18"/>
                <w:lang w:val="ro-MD" w:eastAsia="ru-RU"/>
              </w:rPr>
              <w:t xml:space="preserve"> externe pentru proiecte finanțate din surse externe</w:t>
            </w:r>
            <w:r w:rsidRPr="00483DC7">
              <w:rPr>
                <w:rFonts w:ascii="Times New Roman" w:hAnsi="Times New Roman" w:cs="Times New Roman"/>
                <w:bCs/>
                <w:sz w:val="18"/>
                <w:szCs w:val="18"/>
                <w:lang w:val="ro-MD" w:eastAsia="ru-RU"/>
              </w:rPr>
              <w:t xml:space="preserve"> de la organizațiile financiare internaționale</w:t>
            </w:r>
          </w:p>
        </w:tc>
        <w:tc>
          <w:tcPr>
            <w:tcW w:w="1276" w:type="dxa"/>
          </w:tcPr>
          <w:p w14:paraId="65D4B8D1" w14:textId="77777777" w:rsidR="00C61DF3" w:rsidRPr="00483DC7" w:rsidRDefault="00C61DF3"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6.092.005,30</w:t>
            </w:r>
          </w:p>
        </w:tc>
        <w:tc>
          <w:tcPr>
            <w:tcW w:w="1276" w:type="dxa"/>
          </w:tcPr>
          <w:p w14:paraId="2CC325EF"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7.243.115,20</w:t>
            </w:r>
          </w:p>
        </w:tc>
        <w:tc>
          <w:tcPr>
            <w:tcW w:w="1275" w:type="dxa"/>
          </w:tcPr>
          <w:p w14:paraId="55930CE7" w14:textId="77777777" w:rsidR="00C61DF3" w:rsidRPr="00483DC7" w:rsidRDefault="007D2294" w:rsidP="007D2294">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13.335.120,50</w:t>
            </w:r>
          </w:p>
        </w:tc>
        <w:tc>
          <w:tcPr>
            <w:tcW w:w="1843" w:type="dxa"/>
          </w:tcPr>
          <w:p w14:paraId="0562D3E9" w14:textId="77777777" w:rsidR="00C61DF3" w:rsidRPr="00483DC7" w:rsidRDefault="00C61DF3" w:rsidP="00571B0F">
            <w:pPr>
              <w:spacing w:line="276" w:lineRule="auto"/>
              <w:jc w:val="right"/>
              <w:rPr>
                <w:rFonts w:ascii="Times New Roman" w:hAnsi="Times New Roman" w:cs="Times New Roman"/>
                <w:bCs/>
                <w:sz w:val="18"/>
                <w:szCs w:val="18"/>
                <w:lang w:val="ro-MD" w:eastAsia="ru-RU"/>
              </w:rPr>
            </w:pPr>
            <w:r w:rsidRPr="00483DC7">
              <w:rPr>
                <w:rFonts w:ascii="Times New Roman" w:hAnsi="Times New Roman" w:cs="Times New Roman"/>
                <w:bCs/>
                <w:sz w:val="18"/>
                <w:szCs w:val="18"/>
                <w:lang w:val="ro-MD" w:eastAsia="ru-RU"/>
              </w:rPr>
              <w:t>91,48</w:t>
            </w:r>
          </w:p>
        </w:tc>
      </w:tr>
      <w:tr w:rsidR="00C61DF3" w:rsidRPr="00483DC7" w14:paraId="01096D08" w14:textId="77777777" w:rsidTr="00052721">
        <w:tc>
          <w:tcPr>
            <w:tcW w:w="816" w:type="dxa"/>
            <w:shd w:val="clear" w:color="auto" w:fill="FFF2CC" w:themeFill="accent4" w:themeFillTint="33"/>
          </w:tcPr>
          <w:p w14:paraId="2B0DDDFA" w14:textId="77777777" w:rsidR="00C61DF3" w:rsidRPr="00483DC7" w:rsidRDefault="00C61DF3" w:rsidP="00571B0F">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13+59</w:t>
            </w:r>
          </w:p>
        </w:tc>
        <w:tc>
          <w:tcPr>
            <w:tcW w:w="8115" w:type="dxa"/>
            <w:shd w:val="clear" w:color="auto" w:fill="FFF2CC" w:themeFill="accent4" w:themeFillTint="33"/>
          </w:tcPr>
          <w:p w14:paraId="4E098ECB" w14:textId="77777777" w:rsidR="00C61DF3" w:rsidRPr="00483DC7" w:rsidRDefault="00C61DF3" w:rsidP="00571B0F">
            <w:pPr>
              <w:spacing w:line="276" w:lineRule="auto"/>
              <w:jc w:val="both"/>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TOTAL GRANTURI ȘI ÎMPRUMUTURI</w:t>
            </w:r>
          </w:p>
        </w:tc>
        <w:tc>
          <w:tcPr>
            <w:tcW w:w="1276" w:type="dxa"/>
            <w:shd w:val="clear" w:color="auto" w:fill="FFF2CC" w:themeFill="accent4" w:themeFillTint="33"/>
          </w:tcPr>
          <w:p w14:paraId="5FB7ECD1" w14:textId="77777777" w:rsidR="00C61DF3" w:rsidRPr="00483DC7" w:rsidRDefault="00C61DF3"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6.613.384,18</w:t>
            </w:r>
          </w:p>
        </w:tc>
        <w:tc>
          <w:tcPr>
            <w:tcW w:w="1276" w:type="dxa"/>
            <w:shd w:val="clear" w:color="auto" w:fill="FFF2CC" w:themeFill="accent4" w:themeFillTint="33"/>
          </w:tcPr>
          <w:p w14:paraId="2E04FD6C" w14:textId="77777777" w:rsidR="00C61DF3" w:rsidRPr="00483DC7" w:rsidRDefault="007D2294"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7.964.015,70</w:t>
            </w:r>
          </w:p>
        </w:tc>
        <w:tc>
          <w:tcPr>
            <w:tcW w:w="1275" w:type="dxa"/>
            <w:shd w:val="clear" w:color="auto" w:fill="FFF2CC" w:themeFill="accent4" w:themeFillTint="33"/>
          </w:tcPr>
          <w:p w14:paraId="107AD681" w14:textId="77777777" w:rsidR="00C61DF3" w:rsidRPr="00483DC7" w:rsidRDefault="007D2294" w:rsidP="007D2294">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14.577.399,88</w:t>
            </w:r>
          </w:p>
        </w:tc>
        <w:tc>
          <w:tcPr>
            <w:tcW w:w="1843" w:type="dxa"/>
            <w:shd w:val="clear" w:color="auto" w:fill="FFF2CC" w:themeFill="accent4" w:themeFillTint="33"/>
          </w:tcPr>
          <w:p w14:paraId="5383C42A" w14:textId="77777777" w:rsidR="00C61DF3" w:rsidRPr="00483DC7" w:rsidRDefault="00C61DF3" w:rsidP="00571B0F">
            <w:pPr>
              <w:spacing w:line="276" w:lineRule="auto"/>
              <w:jc w:val="right"/>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100,00</w:t>
            </w:r>
          </w:p>
        </w:tc>
      </w:tr>
      <w:tr w:rsidR="007D2294" w:rsidRPr="00483DC7" w14:paraId="18C3FD6C" w14:textId="77777777" w:rsidTr="00533781">
        <w:trPr>
          <w:trHeight w:val="211"/>
        </w:trPr>
        <w:tc>
          <w:tcPr>
            <w:tcW w:w="14601" w:type="dxa"/>
            <w:gridSpan w:val="6"/>
            <w:tcBorders>
              <w:left w:val="single" w:sz="4" w:space="0" w:color="FFFFFF"/>
              <w:bottom w:val="single" w:sz="4" w:space="0" w:color="FFFFFF" w:themeColor="background1"/>
              <w:right w:val="single" w:sz="4" w:space="0" w:color="FFFFFF"/>
            </w:tcBorders>
            <w:shd w:val="clear" w:color="auto" w:fill="auto"/>
            <w:vAlign w:val="center"/>
          </w:tcPr>
          <w:p w14:paraId="61A8835A" w14:textId="12B4082F" w:rsidR="007D2294" w:rsidRPr="00483DC7" w:rsidRDefault="00C17167" w:rsidP="00C17167">
            <w:pPr>
              <w:spacing w:line="276" w:lineRule="auto"/>
              <w:jc w:val="center"/>
              <w:rPr>
                <w:rFonts w:ascii="Times New Roman" w:hAnsi="Times New Roman" w:cs="Times New Roman"/>
                <w:b/>
                <w:bCs/>
                <w:sz w:val="18"/>
                <w:szCs w:val="18"/>
                <w:lang w:val="ro-MD" w:eastAsia="ru-RU"/>
              </w:rPr>
            </w:pPr>
            <w:r w:rsidRPr="00483DC7">
              <w:rPr>
                <w:rFonts w:ascii="Times New Roman" w:hAnsi="Times New Roman" w:cs="Times New Roman"/>
                <w:b/>
                <w:bCs/>
                <w:sz w:val="18"/>
                <w:szCs w:val="18"/>
                <w:lang w:val="ro-MD" w:eastAsia="ru-RU"/>
              </w:rPr>
              <w:t xml:space="preserve">Sursa: </w:t>
            </w:r>
            <w:r w:rsidRPr="00483DC7">
              <w:rPr>
                <w:rFonts w:ascii="Times New Roman" w:hAnsi="Times New Roman" w:cs="Times New Roman"/>
                <w:bCs/>
                <w:i/>
                <w:sz w:val="18"/>
                <w:szCs w:val="18"/>
                <w:lang w:val="ro-MD" w:eastAsia="ru-RU"/>
              </w:rPr>
              <w:t>Rapoartele privind executarea bugetului pentru anii 2022 și 2023 (Forma F</w:t>
            </w:r>
            <w:r w:rsidR="00BB1201" w:rsidRPr="00483DC7">
              <w:rPr>
                <w:rFonts w:ascii="Times New Roman" w:hAnsi="Times New Roman" w:cs="Times New Roman"/>
                <w:bCs/>
                <w:i/>
                <w:sz w:val="18"/>
                <w:szCs w:val="18"/>
                <w:lang w:val="ro-MD" w:eastAsia="ru-RU"/>
              </w:rPr>
              <w:t>A</w:t>
            </w:r>
            <w:r w:rsidRPr="00483DC7">
              <w:rPr>
                <w:rFonts w:ascii="Times New Roman" w:hAnsi="Times New Roman" w:cs="Times New Roman"/>
                <w:bCs/>
                <w:i/>
                <w:sz w:val="18"/>
                <w:szCs w:val="18"/>
                <w:lang w:val="ro-MD" w:eastAsia="ru-RU"/>
              </w:rPr>
              <w:t>-010)</w:t>
            </w:r>
          </w:p>
        </w:tc>
      </w:tr>
    </w:tbl>
    <w:p w14:paraId="31DDE27D" w14:textId="77777777" w:rsidR="00946C47" w:rsidRPr="00483DC7" w:rsidRDefault="00946C47" w:rsidP="00052721">
      <w:pPr>
        <w:tabs>
          <w:tab w:val="left" w:pos="10620"/>
        </w:tabs>
        <w:spacing w:after="0" w:line="240" w:lineRule="auto"/>
        <w:rPr>
          <w:rFonts w:ascii="Times New Roman" w:hAnsi="Times New Roman" w:cs="Times New Roman"/>
          <w:sz w:val="16"/>
          <w:szCs w:val="16"/>
          <w:lang w:val="ro-MD"/>
        </w:rPr>
      </w:pPr>
    </w:p>
    <w:tbl>
      <w:tblPr>
        <w:tblStyle w:val="TableGrid"/>
        <w:tblW w:w="14601" w:type="dxa"/>
        <w:tblInd w:w="-289" w:type="dxa"/>
        <w:tblLayout w:type="fixed"/>
        <w:tblLook w:val="04A0" w:firstRow="1" w:lastRow="0" w:firstColumn="1" w:lastColumn="0" w:noHBand="0" w:noVBand="1"/>
      </w:tblPr>
      <w:tblGrid>
        <w:gridCol w:w="566"/>
        <w:gridCol w:w="3687"/>
        <w:gridCol w:w="1276"/>
        <w:gridCol w:w="1134"/>
        <w:gridCol w:w="992"/>
        <w:gridCol w:w="1276"/>
        <w:gridCol w:w="1134"/>
        <w:gridCol w:w="992"/>
        <w:gridCol w:w="1276"/>
        <w:gridCol w:w="1276"/>
        <w:gridCol w:w="992"/>
      </w:tblGrid>
      <w:tr w:rsidR="00ED05B6" w:rsidRPr="00483DC7" w14:paraId="3AC69B89" w14:textId="77777777" w:rsidTr="00533781">
        <w:trPr>
          <w:trHeight w:val="291"/>
        </w:trPr>
        <w:tc>
          <w:tcPr>
            <w:tcW w:w="14601" w:type="dxa"/>
            <w:gridSpan w:val="11"/>
            <w:tcBorders>
              <w:top w:val="single" w:sz="4" w:space="0" w:color="FFFFFF"/>
              <w:left w:val="single" w:sz="4" w:space="0" w:color="FFFFFF"/>
              <w:right w:val="single" w:sz="4" w:space="0" w:color="FFFFFF"/>
            </w:tcBorders>
          </w:tcPr>
          <w:p w14:paraId="2846AF7A" w14:textId="0B0BE053" w:rsidR="00ED05B6" w:rsidRPr="00483DC7" w:rsidRDefault="00ED05B6" w:rsidP="00872395">
            <w:pPr>
              <w:tabs>
                <w:tab w:val="left" w:pos="228"/>
                <w:tab w:val="left" w:pos="10620"/>
              </w:tabs>
              <w:jc w:val="center"/>
              <w:rPr>
                <w:rFonts w:ascii="Times New Roman" w:hAnsi="Times New Roman" w:cs="Times New Roman"/>
                <w:b/>
                <w:lang w:val="ro-MD"/>
              </w:rPr>
            </w:pPr>
            <w:r w:rsidRPr="00483DC7">
              <w:rPr>
                <w:rFonts w:ascii="Times New Roman" w:hAnsi="Times New Roman" w:cs="Times New Roman"/>
                <w:b/>
                <w:lang w:val="ro-MD"/>
              </w:rPr>
              <w:t xml:space="preserve">Repartizarea asistenței externe </w:t>
            </w:r>
            <w:r w:rsidR="00872395" w:rsidRPr="00483DC7">
              <w:rPr>
                <w:rFonts w:ascii="Times New Roman" w:hAnsi="Times New Roman" w:cs="Times New Roman"/>
                <w:b/>
                <w:lang w:val="ro-MD"/>
              </w:rPr>
              <w:t>primite</w:t>
            </w:r>
            <w:r w:rsidR="00073B4B" w:rsidRPr="00483DC7">
              <w:rPr>
                <w:rFonts w:ascii="Times New Roman" w:hAnsi="Times New Roman" w:cs="Times New Roman"/>
                <w:b/>
                <w:lang w:val="ro-MD"/>
              </w:rPr>
              <w:t xml:space="preserve"> în anii 2022-2023</w:t>
            </w:r>
            <w:r w:rsidRPr="00483DC7">
              <w:rPr>
                <w:rFonts w:ascii="Times New Roman" w:hAnsi="Times New Roman" w:cs="Times New Roman"/>
                <w:b/>
                <w:lang w:val="ro-MD"/>
              </w:rPr>
              <w:t xml:space="preserve"> pe autorități publice centrale</w:t>
            </w:r>
          </w:p>
        </w:tc>
      </w:tr>
      <w:tr w:rsidR="00897868" w:rsidRPr="00483DC7" w14:paraId="27314092" w14:textId="77777777" w:rsidTr="00980E34">
        <w:trPr>
          <w:trHeight w:val="162"/>
        </w:trPr>
        <w:tc>
          <w:tcPr>
            <w:tcW w:w="566" w:type="dxa"/>
            <w:vMerge w:val="restart"/>
            <w:shd w:val="clear" w:color="auto" w:fill="DEEAF6" w:themeFill="accent1" w:themeFillTint="33"/>
            <w:vAlign w:val="center"/>
          </w:tcPr>
          <w:p w14:paraId="7049A3CB" w14:textId="16881560" w:rsidR="00ED05B6" w:rsidRPr="00483DC7" w:rsidRDefault="00ED05B6" w:rsidP="00C624F9">
            <w:pPr>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 xml:space="preserve">Nr. </w:t>
            </w:r>
            <w:r w:rsidR="00C624F9">
              <w:rPr>
                <w:rFonts w:ascii="Times New Roman" w:hAnsi="Times New Roman" w:cs="Times New Roman"/>
                <w:b/>
                <w:sz w:val="16"/>
                <w:szCs w:val="16"/>
                <w:lang w:val="ro-MD"/>
              </w:rPr>
              <w:t>crt.</w:t>
            </w:r>
          </w:p>
        </w:tc>
        <w:tc>
          <w:tcPr>
            <w:tcW w:w="3687" w:type="dxa"/>
            <w:vMerge w:val="restart"/>
            <w:shd w:val="clear" w:color="auto" w:fill="DEEAF6" w:themeFill="accent1" w:themeFillTint="33"/>
            <w:vAlign w:val="center"/>
          </w:tcPr>
          <w:p w14:paraId="541D9875" w14:textId="77777777" w:rsidR="00ED05B6" w:rsidRPr="00483DC7" w:rsidRDefault="00ED05B6" w:rsidP="0055386B">
            <w:pPr>
              <w:tabs>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Denumirea autorității publice centrale</w:t>
            </w:r>
          </w:p>
        </w:tc>
        <w:tc>
          <w:tcPr>
            <w:tcW w:w="1276" w:type="dxa"/>
            <w:vMerge w:val="restart"/>
            <w:shd w:val="clear" w:color="auto" w:fill="DEEAF6" w:themeFill="accent1" w:themeFillTint="33"/>
          </w:tcPr>
          <w:p w14:paraId="0E6EA822"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Nr. de proiecte finanțate în 2022-2023 (unități)</w:t>
            </w:r>
          </w:p>
        </w:tc>
        <w:tc>
          <w:tcPr>
            <w:tcW w:w="1134" w:type="dxa"/>
            <w:vMerge w:val="restart"/>
            <w:shd w:val="clear" w:color="auto" w:fill="DEEAF6" w:themeFill="accent1" w:themeFillTint="33"/>
            <w:vAlign w:val="center"/>
          </w:tcPr>
          <w:p w14:paraId="77035490" w14:textId="77777777" w:rsidR="00152A4A"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 xml:space="preserve">TOTAL </w:t>
            </w:r>
          </w:p>
          <w:p w14:paraId="4634DBD8" w14:textId="03267FD9"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anul 2022 (mii lei)</w:t>
            </w:r>
          </w:p>
        </w:tc>
        <w:tc>
          <w:tcPr>
            <w:tcW w:w="2268" w:type="dxa"/>
            <w:gridSpan w:val="2"/>
            <w:shd w:val="clear" w:color="auto" w:fill="DEEAF6" w:themeFill="accent1" w:themeFillTint="33"/>
            <w:vAlign w:val="center"/>
          </w:tcPr>
          <w:p w14:paraId="74E2CFD9"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inclusiv:</w:t>
            </w:r>
          </w:p>
        </w:tc>
        <w:tc>
          <w:tcPr>
            <w:tcW w:w="1134" w:type="dxa"/>
            <w:vMerge w:val="restart"/>
            <w:shd w:val="clear" w:color="auto" w:fill="DEEAF6" w:themeFill="accent1" w:themeFillTint="33"/>
            <w:vAlign w:val="center"/>
          </w:tcPr>
          <w:p w14:paraId="7E0960C5" w14:textId="77777777" w:rsidR="00897868"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 xml:space="preserve">TOTAL </w:t>
            </w:r>
          </w:p>
          <w:p w14:paraId="3C4CA4A1" w14:textId="5DF79483"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anul 2023 (mii lei)</w:t>
            </w:r>
          </w:p>
        </w:tc>
        <w:tc>
          <w:tcPr>
            <w:tcW w:w="2268" w:type="dxa"/>
            <w:gridSpan w:val="2"/>
            <w:shd w:val="clear" w:color="auto" w:fill="DEEAF6" w:themeFill="accent1" w:themeFillTint="33"/>
            <w:vAlign w:val="center"/>
          </w:tcPr>
          <w:p w14:paraId="6354846F"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inclusiv</w:t>
            </w:r>
          </w:p>
        </w:tc>
        <w:tc>
          <w:tcPr>
            <w:tcW w:w="1276" w:type="dxa"/>
            <w:vMerge w:val="restart"/>
            <w:shd w:val="clear" w:color="auto" w:fill="DEEAF6" w:themeFill="accent1" w:themeFillTint="33"/>
          </w:tcPr>
          <w:p w14:paraId="3C698F42" w14:textId="6F4EE6A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 xml:space="preserve">TOTAL </w:t>
            </w:r>
            <w:r w:rsidR="00C624F9">
              <w:rPr>
                <w:rFonts w:ascii="Times New Roman" w:hAnsi="Times New Roman" w:cs="Times New Roman"/>
                <w:b/>
                <w:sz w:val="16"/>
                <w:szCs w:val="16"/>
                <w:lang w:val="ro-MD"/>
              </w:rPr>
              <w:t>c</w:t>
            </w:r>
            <w:r w:rsidRPr="00483DC7">
              <w:rPr>
                <w:rFonts w:ascii="Times New Roman" w:hAnsi="Times New Roman" w:cs="Times New Roman"/>
                <w:b/>
                <w:sz w:val="16"/>
                <w:szCs w:val="16"/>
                <w:lang w:val="ro-MD"/>
              </w:rPr>
              <w:t>umulativ 2022-2023</w:t>
            </w:r>
          </w:p>
          <w:p w14:paraId="38A9B743"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(mii lei)</w:t>
            </w:r>
          </w:p>
        </w:tc>
        <w:tc>
          <w:tcPr>
            <w:tcW w:w="992" w:type="dxa"/>
            <w:vMerge w:val="restart"/>
            <w:shd w:val="clear" w:color="auto" w:fill="DEEAF6" w:themeFill="accent1" w:themeFillTint="33"/>
          </w:tcPr>
          <w:p w14:paraId="61E84879"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Ponderea în Total Cumulativ (%)</w:t>
            </w:r>
          </w:p>
        </w:tc>
      </w:tr>
      <w:tr w:rsidR="00897868" w:rsidRPr="00483DC7" w14:paraId="706909FC" w14:textId="77777777" w:rsidTr="00980E34">
        <w:trPr>
          <w:trHeight w:val="496"/>
        </w:trPr>
        <w:tc>
          <w:tcPr>
            <w:tcW w:w="566" w:type="dxa"/>
            <w:vMerge/>
            <w:shd w:val="clear" w:color="auto" w:fill="DEEAF6" w:themeFill="accent1" w:themeFillTint="33"/>
            <w:vAlign w:val="center"/>
          </w:tcPr>
          <w:p w14:paraId="2786E91F"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3687" w:type="dxa"/>
            <w:vMerge/>
            <w:shd w:val="clear" w:color="auto" w:fill="DEEAF6" w:themeFill="accent1" w:themeFillTint="33"/>
            <w:vAlign w:val="center"/>
          </w:tcPr>
          <w:p w14:paraId="7DAA1A0F"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1276" w:type="dxa"/>
            <w:vMerge/>
            <w:shd w:val="clear" w:color="auto" w:fill="DEEAF6" w:themeFill="accent1" w:themeFillTint="33"/>
          </w:tcPr>
          <w:p w14:paraId="01B69C73"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1134" w:type="dxa"/>
            <w:vMerge/>
            <w:shd w:val="clear" w:color="auto" w:fill="DEEAF6" w:themeFill="accent1" w:themeFillTint="33"/>
            <w:vAlign w:val="center"/>
          </w:tcPr>
          <w:p w14:paraId="559CA9F0"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992" w:type="dxa"/>
            <w:shd w:val="clear" w:color="auto" w:fill="DEEAF6" w:themeFill="accent1" w:themeFillTint="33"/>
            <w:vAlign w:val="center"/>
          </w:tcPr>
          <w:p w14:paraId="763044F0" w14:textId="6E4BBE22" w:rsidR="00ED05B6" w:rsidRPr="00483DC7" w:rsidRDefault="00C624F9" w:rsidP="00ED05B6">
            <w:pPr>
              <w:tabs>
                <w:tab w:val="left" w:pos="228"/>
                <w:tab w:val="left" w:pos="10620"/>
              </w:tabs>
              <w:jc w:val="center"/>
              <w:rPr>
                <w:rFonts w:ascii="Times New Roman" w:hAnsi="Times New Roman" w:cs="Times New Roman"/>
                <w:b/>
                <w:sz w:val="16"/>
                <w:szCs w:val="16"/>
                <w:lang w:val="ro-MD"/>
              </w:rPr>
            </w:pPr>
            <w:r>
              <w:rPr>
                <w:rFonts w:ascii="Times New Roman" w:hAnsi="Times New Roman" w:cs="Times New Roman"/>
                <w:b/>
                <w:sz w:val="16"/>
                <w:szCs w:val="16"/>
                <w:lang w:val="ro-MD"/>
              </w:rPr>
              <w:t>g</w:t>
            </w:r>
            <w:r w:rsidR="00ED05B6" w:rsidRPr="00483DC7">
              <w:rPr>
                <w:rFonts w:ascii="Times New Roman" w:hAnsi="Times New Roman" w:cs="Times New Roman"/>
                <w:b/>
                <w:sz w:val="16"/>
                <w:szCs w:val="16"/>
                <w:lang w:val="ro-MD"/>
              </w:rPr>
              <w:t xml:space="preserve">ranturi </w:t>
            </w:r>
          </w:p>
        </w:tc>
        <w:tc>
          <w:tcPr>
            <w:tcW w:w="1276" w:type="dxa"/>
            <w:shd w:val="clear" w:color="auto" w:fill="DEEAF6" w:themeFill="accent1" w:themeFillTint="33"/>
            <w:vAlign w:val="center"/>
          </w:tcPr>
          <w:p w14:paraId="34D1997C" w14:textId="6ECB6082" w:rsidR="00ED05B6" w:rsidRPr="00483DC7" w:rsidRDefault="00C624F9" w:rsidP="00ED05B6">
            <w:pPr>
              <w:tabs>
                <w:tab w:val="left" w:pos="228"/>
                <w:tab w:val="left" w:pos="10620"/>
              </w:tabs>
              <w:jc w:val="center"/>
              <w:rPr>
                <w:rFonts w:ascii="Times New Roman" w:hAnsi="Times New Roman" w:cs="Times New Roman"/>
                <w:b/>
                <w:sz w:val="16"/>
                <w:szCs w:val="16"/>
                <w:lang w:val="ro-MD"/>
              </w:rPr>
            </w:pPr>
            <w:r>
              <w:rPr>
                <w:rFonts w:ascii="Times New Roman" w:hAnsi="Times New Roman" w:cs="Times New Roman"/>
                <w:b/>
                <w:sz w:val="16"/>
                <w:szCs w:val="16"/>
                <w:lang w:val="ro-MD"/>
              </w:rPr>
              <w:t>î</w:t>
            </w:r>
            <w:r w:rsidR="00ED05B6" w:rsidRPr="00483DC7">
              <w:rPr>
                <w:rFonts w:ascii="Times New Roman" w:hAnsi="Times New Roman" w:cs="Times New Roman"/>
                <w:b/>
                <w:sz w:val="16"/>
                <w:szCs w:val="16"/>
                <w:lang w:val="ro-MD"/>
              </w:rPr>
              <w:t xml:space="preserve">mprumuturi </w:t>
            </w:r>
          </w:p>
        </w:tc>
        <w:tc>
          <w:tcPr>
            <w:tcW w:w="1134" w:type="dxa"/>
            <w:vMerge/>
            <w:shd w:val="clear" w:color="auto" w:fill="DEEAF6" w:themeFill="accent1" w:themeFillTint="33"/>
            <w:vAlign w:val="center"/>
          </w:tcPr>
          <w:p w14:paraId="67F9EBE8"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992" w:type="dxa"/>
            <w:shd w:val="clear" w:color="auto" w:fill="DEEAF6" w:themeFill="accent1" w:themeFillTint="33"/>
            <w:vAlign w:val="center"/>
          </w:tcPr>
          <w:p w14:paraId="79DC1685" w14:textId="3A8AF7EB" w:rsidR="00ED05B6" w:rsidRPr="00483DC7" w:rsidRDefault="00C624F9" w:rsidP="00ED05B6">
            <w:pPr>
              <w:tabs>
                <w:tab w:val="left" w:pos="228"/>
                <w:tab w:val="left" w:pos="10620"/>
              </w:tabs>
              <w:jc w:val="center"/>
              <w:rPr>
                <w:rFonts w:ascii="Times New Roman" w:hAnsi="Times New Roman" w:cs="Times New Roman"/>
                <w:b/>
                <w:sz w:val="16"/>
                <w:szCs w:val="16"/>
                <w:lang w:val="ro-MD"/>
              </w:rPr>
            </w:pPr>
            <w:r>
              <w:rPr>
                <w:rFonts w:ascii="Times New Roman" w:hAnsi="Times New Roman" w:cs="Times New Roman"/>
                <w:b/>
                <w:sz w:val="16"/>
                <w:szCs w:val="16"/>
                <w:lang w:val="ro-MD"/>
              </w:rPr>
              <w:t>g</w:t>
            </w:r>
            <w:r w:rsidR="00ED05B6" w:rsidRPr="00483DC7">
              <w:rPr>
                <w:rFonts w:ascii="Times New Roman" w:hAnsi="Times New Roman" w:cs="Times New Roman"/>
                <w:b/>
                <w:sz w:val="16"/>
                <w:szCs w:val="16"/>
                <w:lang w:val="ro-MD"/>
              </w:rPr>
              <w:t xml:space="preserve">ranturi </w:t>
            </w:r>
          </w:p>
        </w:tc>
        <w:tc>
          <w:tcPr>
            <w:tcW w:w="1276" w:type="dxa"/>
            <w:shd w:val="clear" w:color="auto" w:fill="DEEAF6" w:themeFill="accent1" w:themeFillTint="33"/>
            <w:vAlign w:val="center"/>
          </w:tcPr>
          <w:p w14:paraId="0B58D418" w14:textId="7E560BC6" w:rsidR="00ED05B6" w:rsidRPr="00483DC7" w:rsidRDefault="00C624F9" w:rsidP="00ED05B6">
            <w:pPr>
              <w:tabs>
                <w:tab w:val="left" w:pos="228"/>
                <w:tab w:val="left" w:pos="10620"/>
              </w:tabs>
              <w:jc w:val="center"/>
              <w:rPr>
                <w:rFonts w:ascii="Times New Roman" w:hAnsi="Times New Roman" w:cs="Times New Roman"/>
                <w:b/>
                <w:sz w:val="16"/>
                <w:szCs w:val="16"/>
                <w:lang w:val="ro-MD"/>
              </w:rPr>
            </w:pPr>
            <w:r>
              <w:rPr>
                <w:rFonts w:ascii="Times New Roman" w:hAnsi="Times New Roman" w:cs="Times New Roman"/>
                <w:b/>
                <w:sz w:val="16"/>
                <w:szCs w:val="16"/>
                <w:lang w:val="ro-MD"/>
              </w:rPr>
              <w:t>î</w:t>
            </w:r>
            <w:r w:rsidR="00ED05B6" w:rsidRPr="00483DC7">
              <w:rPr>
                <w:rFonts w:ascii="Times New Roman" w:hAnsi="Times New Roman" w:cs="Times New Roman"/>
                <w:b/>
                <w:sz w:val="16"/>
                <w:szCs w:val="16"/>
                <w:lang w:val="ro-MD"/>
              </w:rPr>
              <w:t xml:space="preserve">mprumuturi </w:t>
            </w:r>
          </w:p>
        </w:tc>
        <w:tc>
          <w:tcPr>
            <w:tcW w:w="1276" w:type="dxa"/>
            <w:vMerge/>
            <w:shd w:val="clear" w:color="auto" w:fill="DEEAF6" w:themeFill="accent1" w:themeFillTint="33"/>
          </w:tcPr>
          <w:p w14:paraId="69CD6639"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c>
          <w:tcPr>
            <w:tcW w:w="992" w:type="dxa"/>
            <w:vMerge/>
            <w:shd w:val="clear" w:color="auto" w:fill="DEEAF6" w:themeFill="accent1" w:themeFillTint="33"/>
          </w:tcPr>
          <w:p w14:paraId="07D779D1" w14:textId="77777777" w:rsidR="00ED05B6" w:rsidRPr="00483DC7" w:rsidRDefault="00ED05B6" w:rsidP="00C17167">
            <w:pPr>
              <w:tabs>
                <w:tab w:val="left" w:pos="228"/>
                <w:tab w:val="left" w:pos="10620"/>
              </w:tabs>
              <w:jc w:val="center"/>
              <w:rPr>
                <w:rFonts w:ascii="Times New Roman" w:hAnsi="Times New Roman" w:cs="Times New Roman"/>
                <w:b/>
                <w:sz w:val="16"/>
                <w:szCs w:val="16"/>
                <w:lang w:val="ro-MD"/>
              </w:rPr>
            </w:pPr>
          </w:p>
        </w:tc>
      </w:tr>
      <w:tr w:rsidR="00897868" w:rsidRPr="00483DC7" w14:paraId="4621ACCF" w14:textId="77777777" w:rsidTr="00980E34">
        <w:trPr>
          <w:trHeight w:val="162"/>
        </w:trPr>
        <w:tc>
          <w:tcPr>
            <w:tcW w:w="566" w:type="dxa"/>
            <w:vAlign w:val="center"/>
          </w:tcPr>
          <w:p w14:paraId="08B0F832" w14:textId="77777777" w:rsidR="00ED05B6" w:rsidRPr="00483DC7" w:rsidRDefault="0025421B" w:rsidP="00451C90">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3687" w:type="dxa"/>
            <w:vAlign w:val="center"/>
          </w:tcPr>
          <w:p w14:paraId="082E3C28" w14:textId="77777777" w:rsidR="00ED05B6" w:rsidRPr="00483DC7" w:rsidRDefault="00ED05B6" w:rsidP="00451C90">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Cancelaria de Stat</w:t>
            </w:r>
          </w:p>
        </w:tc>
        <w:tc>
          <w:tcPr>
            <w:tcW w:w="1276" w:type="dxa"/>
          </w:tcPr>
          <w:p w14:paraId="70C68187" w14:textId="77777777" w:rsidR="00ED05B6" w:rsidRPr="00483DC7" w:rsidRDefault="00ED05B6"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7</w:t>
            </w:r>
          </w:p>
        </w:tc>
        <w:tc>
          <w:tcPr>
            <w:tcW w:w="1134" w:type="dxa"/>
            <w:vAlign w:val="center"/>
          </w:tcPr>
          <w:p w14:paraId="0A63FE53"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74.634,49</w:t>
            </w:r>
          </w:p>
        </w:tc>
        <w:tc>
          <w:tcPr>
            <w:tcW w:w="992" w:type="dxa"/>
            <w:vAlign w:val="center"/>
          </w:tcPr>
          <w:p w14:paraId="39206762"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640,00</w:t>
            </w:r>
          </w:p>
        </w:tc>
        <w:tc>
          <w:tcPr>
            <w:tcW w:w="1276" w:type="dxa"/>
            <w:vAlign w:val="center"/>
          </w:tcPr>
          <w:p w14:paraId="2B2ADB0B"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73.994,49</w:t>
            </w:r>
          </w:p>
        </w:tc>
        <w:tc>
          <w:tcPr>
            <w:tcW w:w="1134" w:type="dxa"/>
            <w:vAlign w:val="center"/>
          </w:tcPr>
          <w:p w14:paraId="2621F091"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351.172,22</w:t>
            </w:r>
          </w:p>
        </w:tc>
        <w:tc>
          <w:tcPr>
            <w:tcW w:w="992" w:type="dxa"/>
            <w:vAlign w:val="center"/>
          </w:tcPr>
          <w:p w14:paraId="7F16ADA8"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189.051,92</w:t>
            </w:r>
          </w:p>
        </w:tc>
        <w:tc>
          <w:tcPr>
            <w:tcW w:w="1276" w:type="dxa"/>
            <w:vAlign w:val="center"/>
          </w:tcPr>
          <w:p w14:paraId="24111512" w14:textId="77777777" w:rsidR="00ED05B6" w:rsidRPr="00483DC7" w:rsidRDefault="00ED05B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162.120,30</w:t>
            </w:r>
          </w:p>
        </w:tc>
        <w:tc>
          <w:tcPr>
            <w:tcW w:w="1276" w:type="dxa"/>
          </w:tcPr>
          <w:p w14:paraId="3E6223F0" w14:textId="77777777" w:rsidR="00ED05B6" w:rsidRPr="00483DC7" w:rsidRDefault="00ED05B6"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425.806,71</w:t>
            </w:r>
          </w:p>
        </w:tc>
        <w:tc>
          <w:tcPr>
            <w:tcW w:w="992" w:type="dxa"/>
          </w:tcPr>
          <w:p w14:paraId="56098434" w14:textId="77777777" w:rsidR="00ED05B6" w:rsidRPr="00483DC7" w:rsidRDefault="00ED05B6"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2,92</w:t>
            </w:r>
          </w:p>
        </w:tc>
      </w:tr>
      <w:tr w:rsidR="00897868" w:rsidRPr="00483DC7" w14:paraId="4FF2C49F" w14:textId="77777777" w:rsidTr="00980E34">
        <w:trPr>
          <w:trHeight w:val="162"/>
        </w:trPr>
        <w:tc>
          <w:tcPr>
            <w:tcW w:w="566" w:type="dxa"/>
            <w:vAlign w:val="center"/>
          </w:tcPr>
          <w:p w14:paraId="14EF6CF3" w14:textId="77777777" w:rsidR="00ED05B6" w:rsidRPr="00483DC7" w:rsidRDefault="0025421B" w:rsidP="00C1716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w:t>
            </w:r>
          </w:p>
        </w:tc>
        <w:tc>
          <w:tcPr>
            <w:tcW w:w="3687" w:type="dxa"/>
            <w:vAlign w:val="center"/>
          </w:tcPr>
          <w:p w14:paraId="40336165" w14:textId="77777777" w:rsidR="00ED05B6" w:rsidRPr="00483DC7" w:rsidRDefault="00B538D2" w:rsidP="00451C90">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MF</w:t>
            </w:r>
          </w:p>
        </w:tc>
        <w:tc>
          <w:tcPr>
            <w:tcW w:w="1276" w:type="dxa"/>
          </w:tcPr>
          <w:p w14:paraId="0E2C4599" w14:textId="77777777" w:rsidR="00ED05B6" w:rsidRPr="00483DC7" w:rsidRDefault="00E126BB"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6</w:t>
            </w:r>
          </w:p>
        </w:tc>
        <w:tc>
          <w:tcPr>
            <w:tcW w:w="1134" w:type="dxa"/>
            <w:vAlign w:val="center"/>
          </w:tcPr>
          <w:p w14:paraId="5376B341"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5.295,87</w:t>
            </w:r>
          </w:p>
        </w:tc>
        <w:tc>
          <w:tcPr>
            <w:tcW w:w="992" w:type="dxa"/>
            <w:vAlign w:val="center"/>
          </w:tcPr>
          <w:p w14:paraId="0BC7B90E"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3.529,61</w:t>
            </w:r>
          </w:p>
        </w:tc>
        <w:tc>
          <w:tcPr>
            <w:tcW w:w="1276" w:type="dxa"/>
            <w:vAlign w:val="center"/>
          </w:tcPr>
          <w:p w14:paraId="08130BE8"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1.766,26</w:t>
            </w:r>
          </w:p>
        </w:tc>
        <w:tc>
          <w:tcPr>
            <w:tcW w:w="1134" w:type="dxa"/>
            <w:vAlign w:val="center"/>
          </w:tcPr>
          <w:p w14:paraId="5DBC7123"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22.016,99</w:t>
            </w:r>
          </w:p>
        </w:tc>
        <w:tc>
          <w:tcPr>
            <w:tcW w:w="992" w:type="dxa"/>
            <w:vAlign w:val="center"/>
          </w:tcPr>
          <w:p w14:paraId="214D2BDA"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17.182,83</w:t>
            </w:r>
          </w:p>
        </w:tc>
        <w:tc>
          <w:tcPr>
            <w:tcW w:w="1276" w:type="dxa"/>
            <w:vAlign w:val="center"/>
          </w:tcPr>
          <w:p w14:paraId="2897FF65" w14:textId="77777777" w:rsidR="00ED05B6" w:rsidRPr="00483DC7" w:rsidRDefault="00E126BB"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4.834,16</w:t>
            </w:r>
          </w:p>
        </w:tc>
        <w:tc>
          <w:tcPr>
            <w:tcW w:w="1276" w:type="dxa"/>
          </w:tcPr>
          <w:p w14:paraId="6A2D9E2E" w14:textId="77777777" w:rsidR="00ED05B6" w:rsidRPr="00483DC7" w:rsidRDefault="00E126BB"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27.312,86</w:t>
            </w:r>
          </w:p>
        </w:tc>
        <w:tc>
          <w:tcPr>
            <w:tcW w:w="992" w:type="dxa"/>
          </w:tcPr>
          <w:p w14:paraId="731A3867" w14:textId="77777777" w:rsidR="00ED05B6" w:rsidRPr="00483DC7" w:rsidRDefault="00E126BB"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0,19</w:t>
            </w:r>
          </w:p>
        </w:tc>
      </w:tr>
      <w:tr w:rsidR="00897868" w:rsidRPr="00483DC7" w14:paraId="25D5E374" w14:textId="77777777" w:rsidTr="00980E34">
        <w:trPr>
          <w:trHeight w:val="162"/>
        </w:trPr>
        <w:tc>
          <w:tcPr>
            <w:tcW w:w="566" w:type="dxa"/>
            <w:vAlign w:val="center"/>
          </w:tcPr>
          <w:p w14:paraId="2F6DF5AF" w14:textId="77777777" w:rsidR="00ED05B6" w:rsidRPr="00483DC7" w:rsidRDefault="00B53CBE" w:rsidP="00C1716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3</w:t>
            </w:r>
          </w:p>
        </w:tc>
        <w:tc>
          <w:tcPr>
            <w:tcW w:w="3687" w:type="dxa"/>
            <w:vAlign w:val="center"/>
          </w:tcPr>
          <w:p w14:paraId="2876FFF6" w14:textId="77777777" w:rsidR="00ED05B6" w:rsidRPr="00483DC7" w:rsidRDefault="00B538D2" w:rsidP="004311F1">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MJ</w:t>
            </w:r>
          </w:p>
        </w:tc>
        <w:tc>
          <w:tcPr>
            <w:tcW w:w="1276" w:type="dxa"/>
          </w:tcPr>
          <w:p w14:paraId="78463B7C" w14:textId="77777777" w:rsidR="00ED05B6" w:rsidRPr="00483DC7" w:rsidRDefault="00B53CBE"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4</w:t>
            </w:r>
          </w:p>
        </w:tc>
        <w:tc>
          <w:tcPr>
            <w:tcW w:w="1134" w:type="dxa"/>
            <w:vAlign w:val="center"/>
          </w:tcPr>
          <w:p w14:paraId="3964E9F3"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949,50</w:t>
            </w:r>
          </w:p>
        </w:tc>
        <w:tc>
          <w:tcPr>
            <w:tcW w:w="992" w:type="dxa"/>
            <w:vAlign w:val="center"/>
          </w:tcPr>
          <w:p w14:paraId="6F6FEA50"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949,50</w:t>
            </w:r>
          </w:p>
        </w:tc>
        <w:tc>
          <w:tcPr>
            <w:tcW w:w="1276" w:type="dxa"/>
            <w:vAlign w:val="center"/>
          </w:tcPr>
          <w:p w14:paraId="337CF381"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5B9659D4"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5.108,41</w:t>
            </w:r>
          </w:p>
        </w:tc>
        <w:tc>
          <w:tcPr>
            <w:tcW w:w="992" w:type="dxa"/>
            <w:vAlign w:val="center"/>
          </w:tcPr>
          <w:p w14:paraId="3200FC2C"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326,73</w:t>
            </w:r>
          </w:p>
        </w:tc>
        <w:tc>
          <w:tcPr>
            <w:tcW w:w="1276" w:type="dxa"/>
            <w:vAlign w:val="center"/>
          </w:tcPr>
          <w:p w14:paraId="6AD6FBDF" w14:textId="77777777" w:rsidR="00ED05B6" w:rsidRPr="00483DC7" w:rsidRDefault="00B53CBE"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4.781,68</w:t>
            </w:r>
          </w:p>
        </w:tc>
        <w:tc>
          <w:tcPr>
            <w:tcW w:w="1276" w:type="dxa"/>
          </w:tcPr>
          <w:p w14:paraId="54899CB0" w14:textId="77777777" w:rsidR="00ED05B6" w:rsidRPr="00483DC7" w:rsidRDefault="00B53CBE"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6.057,91</w:t>
            </w:r>
          </w:p>
        </w:tc>
        <w:tc>
          <w:tcPr>
            <w:tcW w:w="992" w:type="dxa"/>
          </w:tcPr>
          <w:p w14:paraId="3E4CDD63" w14:textId="77777777" w:rsidR="00ED05B6" w:rsidRPr="00483DC7" w:rsidRDefault="00B53CBE"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0,04</w:t>
            </w:r>
          </w:p>
        </w:tc>
      </w:tr>
      <w:tr w:rsidR="00897868" w:rsidRPr="00483DC7" w14:paraId="14A7AD5D" w14:textId="77777777" w:rsidTr="00980E34">
        <w:trPr>
          <w:trHeight w:val="172"/>
        </w:trPr>
        <w:tc>
          <w:tcPr>
            <w:tcW w:w="566" w:type="dxa"/>
            <w:vAlign w:val="center"/>
          </w:tcPr>
          <w:p w14:paraId="19838D5E" w14:textId="77777777" w:rsidR="00ED05B6" w:rsidRPr="00483DC7" w:rsidRDefault="00C40475" w:rsidP="00C1716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4</w:t>
            </w:r>
          </w:p>
        </w:tc>
        <w:tc>
          <w:tcPr>
            <w:tcW w:w="3687" w:type="dxa"/>
            <w:vAlign w:val="center"/>
          </w:tcPr>
          <w:p w14:paraId="66D319C6" w14:textId="77777777" w:rsidR="00ED05B6" w:rsidRPr="00483DC7" w:rsidRDefault="00B538D2" w:rsidP="00492F56">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MAI</w:t>
            </w:r>
          </w:p>
        </w:tc>
        <w:tc>
          <w:tcPr>
            <w:tcW w:w="1276" w:type="dxa"/>
          </w:tcPr>
          <w:p w14:paraId="4B90BDD6" w14:textId="77777777" w:rsidR="00ED05B6" w:rsidRPr="00483DC7" w:rsidRDefault="00DE370F"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35</w:t>
            </w:r>
          </w:p>
        </w:tc>
        <w:tc>
          <w:tcPr>
            <w:tcW w:w="1134" w:type="dxa"/>
            <w:vAlign w:val="center"/>
          </w:tcPr>
          <w:p w14:paraId="0ACF8CB8"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82.008,16</w:t>
            </w:r>
          </w:p>
        </w:tc>
        <w:tc>
          <w:tcPr>
            <w:tcW w:w="992" w:type="dxa"/>
            <w:vAlign w:val="center"/>
          </w:tcPr>
          <w:p w14:paraId="57561761"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82.008,16</w:t>
            </w:r>
          </w:p>
        </w:tc>
        <w:tc>
          <w:tcPr>
            <w:tcW w:w="1276" w:type="dxa"/>
            <w:vAlign w:val="center"/>
          </w:tcPr>
          <w:p w14:paraId="1CCBC858"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50D1A538"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117.375,31</w:t>
            </w:r>
          </w:p>
        </w:tc>
        <w:tc>
          <w:tcPr>
            <w:tcW w:w="992" w:type="dxa"/>
            <w:vAlign w:val="center"/>
          </w:tcPr>
          <w:p w14:paraId="15BC399A"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117.375,31</w:t>
            </w:r>
          </w:p>
        </w:tc>
        <w:tc>
          <w:tcPr>
            <w:tcW w:w="1276" w:type="dxa"/>
            <w:vAlign w:val="center"/>
          </w:tcPr>
          <w:p w14:paraId="70FA7DC4"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54B7CA94" w14:textId="77777777" w:rsidR="00ED05B6" w:rsidRPr="00483DC7" w:rsidRDefault="00DE370F"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199.383,47</w:t>
            </w:r>
          </w:p>
        </w:tc>
        <w:tc>
          <w:tcPr>
            <w:tcW w:w="992" w:type="dxa"/>
          </w:tcPr>
          <w:p w14:paraId="29E36BB4" w14:textId="77777777" w:rsidR="00ED05B6" w:rsidRPr="00483DC7" w:rsidRDefault="00DE370F"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1,37</w:t>
            </w:r>
          </w:p>
        </w:tc>
      </w:tr>
      <w:tr w:rsidR="00897868" w:rsidRPr="00483DC7" w14:paraId="1C09AA88" w14:textId="77777777" w:rsidTr="00980E34">
        <w:trPr>
          <w:trHeight w:val="162"/>
        </w:trPr>
        <w:tc>
          <w:tcPr>
            <w:tcW w:w="566" w:type="dxa"/>
            <w:vAlign w:val="center"/>
          </w:tcPr>
          <w:p w14:paraId="7FB27B82"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5</w:t>
            </w:r>
          </w:p>
        </w:tc>
        <w:tc>
          <w:tcPr>
            <w:tcW w:w="3687" w:type="dxa"/>
            <w:vAlign w:val="center"/>
          </w:tcPr>
          <w:p w14:paraId="7D39294D" w14:textId="77777777" w:rsidR="00ED05B6" w:rsidRPr="00483DC7" w:rsidRDefault="00B538D2"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MA</w:t>
            </w:r>
          </w:p>
        </w:tc>
        <w:tc>
          <w:tcPr>
            <w:tcW w:w="1276" w:type="dxa"/>
          </w:tcPr>
          <w:p w14:paraId="14F27193" w14:textId="77777777" w:rsidR="00ED05B6" w:rsidRPr="00483DC7" w:rsidRDefault="00DE370F"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w:t>
            </w:r>
          </w:p>
        </w:tc>
        <w:tc>
          <w:tcPr>
            <w:tcW w:w="1134" w:type="dxa"/>
            <w:vAlign w:val="center"/>
          </w:tcPr>
          <w:p w14:paraId="33FBDEF5"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3.322,48</w:t>
            </w:r>
          </w:p>
        </w:tc>
        <w:tc>
          <w:tcPr>
            <w:tcW w:w="992" w:type="dxa"/>
            <w:vAlign w:val="center"/>
          </w:tcPr>
          <w:p w14:paraId="60A52C93"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3.322,48</w:t>
            </w:r>
          </w:p>
        </w:tc>
        <w:tc>
          <w:tcPr>
            <w:tcW w:w="1276" w:type="dxa"/>
            <w:vAlign w:val="center"/>
          </w:tcPr>
          <w:p w14:paraId="3BABFFDC"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50836972"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7.850,35</w:t>
            </w:r>
          </w:p>
        </w:tc>
        <w:tc>
          <w:tcPr>
            <w:tcW w:w="992" w:type="dxa"/>
            <w:vAlign w:val="center"/>
          </w:tcPr>
          <w:p w14:paraId="5C71220A"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7.850,35</w:t>
            </w:r>
          </w:p>
        </w:tc>
        <w:tc>
          <w:tcPr>
            <w:tcW w:w="1276" w:type="dxa"/>
            <w:vAlign w:val="center"/>
          </w:tcPr>
          <w:p w14:paraId="7B33BB7C" w14:textId="77777777" w:rsidR="00ED05B6" w:rsidRPr="00483DC7" w:rsidRDefault="00DE370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0AAC8CCB" w14:textId="77777777" w:rsidR="00ED05B6" w:rsidRPr="00483DC7" w:rsidRDefault="00DE370F"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11.172,83</w:t>
            </w:r>
          </w:p>
        </w:tc>
        <w:tc>
          <w:tcPr>
            <w:tcW w:w="992" w:type="dxa"/>
          </w:tcPr>
          <w:p w14:paraId="18A20E42" w14:textId="77777777" w:rsidR="00ED05B6" w:rsidRPr="00483DC7" w:rsidRDefault="00DE370F"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0,08</w:t>
            </w:r>
          </w:p>
        </w:tc>
      </w:tr>
      <w:tr w:rsidR="00897868" w:rsidRPr="00483DC7" w14:paraId="4782DEAA" w14:textId="77777777" w:rsidTr="00980E34">
        <w:trPr>
          <w:trHeight w:val="162"/>
        </w:trPr>
        <w:tc>
          <w:tcPr>
            <w:tcW w:w="566" w:type="dxa"/>
            <w:vAlign w:val="center"/>
          </w:tcPr>
          <w:p w14:paraId="39DFF1DB"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6</w:t>
            </w:r>
          </w:p>
        </w:tc>
        <w:tc>
          <w:tcPr>
            <w:tcW w:w="3687" w:type="dxa"/>
            <w:vAlign w:val="center"/>
          </w:tcPr>
          <w:p w14:paraId="5F4E3F37" w14:textId="77777777" w:rsidR="00ED05B6" w:rsidRPr="00483DC7" w:rsidRDefault="00B538D2" w:rsidP="00B538D2">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MDED</w:t>
            </w:r>
          </w:p>
        </w:tc>
        <w:tc>
          <w:tcPr>
            <w:tcW w:w="1276" w:type="dxa"/>
          </w:tcPr>
          <w:p w14:paraId="57DC06F5" w14:textId="1109BDA6" w:rsidR="00ED05B6" w:rsidRPr="00483DC7" w:rsidRDefault="00F15875"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w:t>
            </w:r>
          </w:p>
        </w:tc>
        <w:tc>
          <w:tcPr>
            <w:tcW w:w="1134" w:type="dxa"/>
            <w:vAlign w:val="center"/>
          </w:tcPr>
          <w:p w14:paraId="2F03C703" w14:textId="582F0CC8"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5.323,26</w:t>
            </w:r>
          </w:p>
        </w:tc>
        <w:tc>
          <w:tcPr>
            <w:tcW w:w="992" w:type="dxa"/>
            <w:vAlign w:val="center"/>
          </w:tcPr>
          <w:p w14:paraId="3EF6880B" w14:textId="4A4EDD00"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vAlign w:val="center"/>
          </w:tcPr>
          <w:p w14:paraId="12CDF28E" w14:textId="7707206D"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5.323,26</w:t>
            </w:r>
          </w:p>
        </w:tc>
        <w:tc>
          <w:tcPr>
            <w:tcW w:w="1134" w:type="dxa"/>
            <w:vAlign w:val="center"/>
          </w:tcPr>
          <w:p w14:paraId="01DEDBED" w14:textId="615F1CCA" w:rsidR="00ED05B6" w:rsidRPr="00483DC7" w:rsidRDefault="00F15875" w:rsidP="00980E34">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204.466,4</w:t>
            </w:r>
            <w:r w:rsidR="00980E34" w:rsidRPr="00483DC7">
              <w:rPr>
                <w:rFonts w:ascii="Times New Roman" w:hAnsi="Times New Roman" w:cs="Times New Roman"/>
                <w:sz w:val="16"/>
                <w:szCs w:val="16"/>
                <w:lang w:val="ro-MD"/>
              </w:rPr>
              <w:t>2</w:t>
            </w:r>
          </w:p>
        </w:tc>
        <w:tc>
          <w:tcPr>
            <w:tcW w:w="992" w:type="dxa"/>
            <w:vAlign w:val="center"/>
          </w:tcPr>
          <w:p w14:paraId="5DA7B843" w14:textId="07FFDA72" w:rsidR="00ED05B6" w:rsidRPr="00483DC7" w:rsidRDefault="00F1587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vAlign w:val="center"/>
          </w:tcPr>
          <w:p w14:paraId="0654BFC8" w14:textId="739C7DA9" w:rsidR="00ED05B6" w:rsidRPr="00483DC7" w:rsidRDefault="00F15875" w:rsidP="00980E34">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204.466,4</w:t>
            </w:r>
            <w:r w:rsidR="00980E34" w:rsidRPr="00483DC7">
              <w:rPr>
                <w:rFonts w:ascii="Times New Roman" w:hAnsi="Times New Roman" w:cs="Times New Roman"/>
                <w:sz w:val="16"/>
                <w:szCs w:val="16"/>
                <w:lang w:val="ro-MD"/>
              </w:rPr>
              <w:t>2</w:t>
            </w:r>
          </w:p>
        </w:tc>
        <w:tc>
          <w:tcPr>
            <w:tcW w:w="1276" w:type="dxa"/>
          </w:tcPr>
          <w:p w14:paraId="7C4E132D" w14:textId="0AD86F0D" w:rsidR="00ED05B6" w:rsidRPr="00483DC7" w:rsidRDefault="00F15875"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209.789,69</w:t>
            </w:r>
          </w:p>
        </w:tc>
        <w:tc>
          <w:tcPr>
            <w:tcW w:w="992" w:type="dxa"/>
          </w:tcPr>
          <w:p w14:paraId="5A42960A" w14:textId="7A0188B9" w:rsidR="00ED05B6"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1,44</w:t>
            </w:r>
          </w:p>
        </w:tc>
      </w:tr>
      <w:tr w:rsidR="00897868" w:rsidRPr="00483DC7" w14:paraId="56C3D66F" w14:textId="77777777" w:rsidTr="00980E34">
        <w:trPr>
          <w:trHeight w:val="162"/>
        </w:trPr>
        <w:tc>
          <w:tcPr>
            <w:tcW w:w="566" w:type="dxa"/>
            <w:vAlign w:val="center"/>
          </w:tcPr>
          <w:p w14:paraId="02A50238"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7</w:t>
            </w:r>
          </w:p>
        </w:tc>
        <w:tc>
          <w:tcPr>
            <w:tcW w:w="3687" w:type="dxa"/>
            <w:vAlign w:val="center"/>
          </w:tcPr>
          <w:p w14:paraId="0F52C562" w14:textId="0882A76F" w:rsidR="00ED05B6"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MIDR</w:t>
            </w:r>
          </w:p>
        </w:tc>
        <w:tc>
          <w:tcPr>
            <w:tcW w:w="1276" w:type="dxa"/>
          </w:tcPr>
          <w:p w14:paraId="756B0C6E" w14:textId="558D5CEB" w:rsidR="00ED05B6" w:rsidRPr="00483DC7" w:rsidRDefault="003314DC"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18</w:t>
            </w:r>
          </w:p>
        </w:tc>
        <w:tc>
          <w:tcPr>
            <w:tcW w:w="1134" w:type="dxa"/>
            <w:vAlign w:val="center"/>
          </w:tcPr>
          <w:p w14:paraId="26C8C1E9" w14:textId="554D3BB8"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5.275.363,68</w:t>
            </w:r>
          </w:p>
        </w:tc>
        <w:tc>
          <w:tcPr>
            <w:tcW w:w="992" w:type="dxa"/>
            <w:vAlign w:val="center"/>
          </w:tcPr>
          <w:p w14:paraId="7EC3DB7C" w14:textId="2AC94506"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74.080,48</w:t>
            </w:r>
          </w:p>
        </w:tc>
        <w:tc>
          <w:tcPr>
            <w:tcW w:w="1276" w:type="dxa"/>
            <w:vAlign w:val="center"/>
          </w:tcPr>
          <w:p w14:paraId="3AC82E11" w14:textId="6D20F0B7"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5.201.283,20</w:t>
            </w:r>
          </w:p>
        </w:tc>
        <w:tc>
          <w:tcPr>
            <w:tcW w:w="1134" w:type="dxa"/>
            <w:vAlign w:val="center"/>
          </w:tcPr>
          <w:p w14:paraId="2C9C0C22" w14:textId="6D01122F" w:rsidR="00ED05B6" w:rsidRPr="00483DC7" w:rsidRDefault="003314DC"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3.894.260,34</w:t>
            </w:r>
          </w:p>
        </w:tc>
        <w:tc>
          <w:tcPr>
            <w:tcW w:w="992" w:type="dxa"/>
            <w:vAlign w:val="center"/>
          </w:tcPr>
          <w:p w14:paraId="798A328A" w14:textId="4A060EF8" w:rsidR="00ED05B6" w:rsidRPr="00483DC7" w:rsidRDefault="003314DC"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54.212,68</w:t>
            </w:r>
          </w:p>
        </w:tc>
        <w:tc>
          <w:tcPr>
            <w:tcW w:w="1276" w:type="dxa"/>
            <w:vAlign w:val="center"/>
          </w:tcPr>
          <w:p w14:paraId="45C1CF32" w14:textId="635B0DC8" w:rsidR="00ED05B6" w:rsidRPr="00483DC7" w:rsidRDefault="003314DC"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3.840.047,66</w:t>
            </w:r>
          </w:p>
        </w:tc>
        <w:tc>
          <w:tcPr>
            <w:tcW w:w="1276" w:type="dxa"/>
          </w:tcPr>
          <w:p w14:paraId="37367CC4" w14:textId="35418DD0" w:rsidR="00ED05B6" w:rsidRPr="00483DC7" w:rsidRDefault="003314DC"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9.169.</w:t>
            </w:r>
            <w:r w:rsidR="00700117" w:rsidRPr="00483DC7">
              <w:rPr>
                <w:rFonts w:ascii="Times New Roman" w:hAnsi="Times New Roman" w:cs="Times New Roman"/>
                <w:b/>
                <w:sz w:val="16"/>
                <w:szCs w:val="16"/>
                <w:lang w:val="ro-MD"/>
              </w:rPr>
              <w:t>624,</w:t>
            </w:r>
            <w:r w:rsidRPr="00483DC7">
              <w:rPr>
                <w:rFonts w:ascii="Times New Roman" w:hAnsi="Times New Roman" w:cs="Times New Roman"/>
                <w:b/>
                <w:sz w:val="16"/>
                <w:szCs w:val="16"/>
                <w:lang w:val="ro-MD"/>
              </w:rPr>
              <w:t>02</w:t>
            </w:r>
          </w:p>
        </w:tc>
        <w:tc>
          <w:tcPr>
            <w:tcW w:w="992" w:type="dxa"/>
          </w:tcPr>
          <w:p w14:paraId="405D4F9B" w14:textId="2A2C0E14" w:rsidR="00ED05B6"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62,90</w:t>
            </w:r>
          </w:p>
        </w:tc>
      </w:tr>
      <w:tr w:rsidR="00897868" w:rsidRPr="00483DC7" w14:paraId="74B592A7" w14:textId="77777777" w:rsidTr="00980E34">
        <w:trPr>
          <w:trHeight w:val="162"/>
        </w:trPr>
        <w:tc>
          <w:tcPr>
            <w:tcW w:w="566" w:type="dxa"/>
            <w:vAlign w:val="center"/>
          </w:tcPr>
          <w:p w14:paraId="32063418"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8</w:t>
            </w:r>
          </w:p>
        </w:tc>
        <w:tc>
          <w:tcPr>
            <w:tcW w:w="3687" w:type="dxa"/>
            <w:vAlign w:val="center"/>
          </w:tcPr>
          <w:p w14:paraId="33095968" w14:textId="327421DE" w:rsidR="00ED05B6"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MAIA</w:t>
            </w:r>
          </w:p>
        </w:tc>
        <w:tc>
          <w:tcPr>
            <w:tcW w:w="1276" w:type="dxa"/>
          </w:tcPr>
          <w:p w14:paraId="08B7B8B6" w14:textId="59710DC4" w:rsidR="00ED05B6" w:rsidRPr="00483DC7" w:rsidRDefault="00700117"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8</w:t>
            </w:r>
          </w:p>
        </w:tc>
        <w:tc>
          <w:tcPr>
            <w:tcW w:w="1134" w:type="dxa"/>
            <w:vAlign w:val="center"/>
          </w:tcPr>
          <w:p w14:paraId="0B35CE00" w14:textId="3CAC9029"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669.344,11</w:t>
            </w:r>
          </w:p>
        </w:tc>
        <w:tc>
          <w:tcPr>
            <w:tcW w:w="992" w:type="dxa"/>
            <w:vAlign w:val="center"/>
          </w:tcPr>
          <w:p w14:paraId="2A2C8C1A" w14:textId="46B018DD"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14.085,09</w:t>
            </w:r>
          </w:p>
        </w:tc>
        <w:tc>
          <w:tcPr>
            <w:tcW w:w="1276" w:type="dxa"/>
            <w:vAlign w:val="center"/>
          </w:tcPr>
          <w:p w14:paraId="0A077A78" w14:textId="30300237"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655.259,03</w:t>
            </w:r>
          </w:p>
        </w:tc>
        <w:tc>
          <w:tcPr>
            <w:tcW w:w="1134" w:type="dxa"/>
            <w:vAlign w:val="center"/>
          </w:tcPr>
          <w:p w14:paraId="5BF209D6" w14:textId="22F1B12F" w:rsidR="00ED05B6"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358.491,16</w:t>
            </w:r>
          </w:p>
        </w:tc>
        <w:tc>
          <w:tcPr>
            <w:tcW w:w="992" w:type="dxa"/>
            <w:vAlign w:val="center"/>
          </w:tcPr>
          <w:p w14:paraId="6F703214" w14:textId="1E9D7123" w:rsidR="00ED05B6"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53.659,61</w:t>
            </w:r>
          </w:p>
        </w:tc>
        <w:tc>
          <w:tcPr>
            <w:tcW w:w="1276" w:type="dxa"/>
            <w:vAlign w:val="center"/>
          </w:tcPr>
          <w:p w14:paraId="3E3E1337" w14:textId="5A60E7C3" w:rsidR="00ED05B6"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304.831,55</w:t>
            </w:r>
          </w:p>
        </w:tc>
        <w:tc>
          <w:tcPr>
            <w:tcW w:w="1276" w:type="dxa"/>
          </w:tcPr>
          <w:p w14:paraId="6E73F8D3" w14:textId="009620AB" w:rsidR="00ED05B6" w:rsidRPr="00483DC7" w:rsidRDefault="00700117"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1.027.835,28</w:t>
            </w:r>
          </w:p>
        </w:tc>
        <w:tc>
          <w:tcPr>
            <w:tcW w:w="992" w:type="dxa"/>
          </w:tcPr>
          <w:p w14:paraId="721D9A4E" w14:textId="445145F5" w:rsidR="00ED05B6"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7,05</w:t>
            </w:r>
          </w:p>
        </w:tc>
      </w:tr>
      <w:tr w:rsidR="00897868" w:rsidRPr="00483DC7" w14:paraId="189531AB" w14:textId="77777777" w:rsidTr="00980E34">
        <w:trPr>
          <w:trHeight w:val="162"/>
        </w:trPr>
        <w:tc>
          <w:tcPr>
            <w:tcW w:w="566" w:type="dxa"/>
            <w:vAlign w:val="center"/>
          </w:tcPr>
          <w:p w14:paraId="74C7F54B"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9</w:t>
            </w:r>
          </w:p>
        </w:tc>
        <w:tc>
          <w:tcPr>
            <w:tcW w:w="3687" w:type="dxa"/>
            <w:vAlign w:val="center"/>
          </w:tcPr>
          <w:p w14:paraId="361A3C5A" w14:textId="446DB9E1" w:rsidR="00ED05B6"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MM</w:t>
            </w:r>
          </w:p>
        </w:tc>
        <w:tc>
          <w:tcPr>
            <w:tcW w:w="1276" w:type="dxa"/>
          </w:tcPr>
          <w:p w14:paraId="278A1726" w14:textId="4430132A" w:rsidR="00ED05B6" w:rsidRPr="00483DC7" w:rsidRDefault="000015F5"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13</w:t>
            </w:r>
          </w:p>
        </w:tc>
        <w:tc>
          <w:tcPr>
            <w:tcW w:w="1134" w:type="dxa"/>
            <w:vAlign w:val="center"/>
          </w:tcPr>
          <w:p w14:paraId="77A6C719" w14:textId="67B5B36E"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4.370,84</w:t>
            </w:r>
          </w:p>
        </w:tc>
        <w:tc>
          <w:tcPr>
            <w:tcW w:w="992" w:type="dxa"/>
            <w:vAlign w:val="center"/>
          </w:tcPr>
          <w:p w14:paraId="5430F00F" w14:textId="07D65301" w:rsidR="00ED05B6" w:rsidRPr="00483DC7" w:rsidRDefault="003F70B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4.370,84</w:t>
            </w:r>
          </w:p>
        </w:tc>
        <w:tc>
          <w:tcPr>
            <w:tcW w:w="1276" w:type="dxa"/>
            <w:vAlign w:val="center"/>
          </w:tcPr>
          <w:p w14:paraId="74765187" w14:textId="1E1A5DC8" w:rsidR="00ED05B6" w:rsidRPr="00483DC7" w:rsidRDefault="003F70B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7A229F53" w14:textId="5D3CE40E" w:rsidR="00ED05B6" w:rsidRPr="00483DC7" w:rsidRDefault="000015F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12.405,63</w:t>
            </w:r>
          </w:p>
        </w:tc>
        <w:tc>
          <w:tcPr>
            <w:tcW w:w="992" w:type="dxa"/>
            <w:vAlign w:val="center"/>
          </w:tcPr>
          <w:p w14:paraId="1D4739F3" w14:textId="277F5F5C" w:rsidR="00ED05B6" w:rsidRPr="00483DC7" w:rsidRDefault="000015F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12.405,63</w:t>
            </w:r>
          </w:p>
        </w:tc>
        <w:tc>
          <w:tcPr>
            <w:tcW w:w="1276" w:type="dxa"/>
            <w:vAlign w:val="center"/>
          </w:tcPr>
          <w:p w14:paraId="5086F06D" w14:textId="6929F4A0" w:rsidR="00ED05B6" w:rsidRPr="00483DC7" w:rsidRDefault="000015F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63C25492" w14:textId="35365B23" w:rsidR="00ED05B6" w:rsidRPr="00483DC7" w:rsidRDefault="000015F5"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16.776,47</w:t>
            </w:r>
          </w:p>
        </w:tc>
        <w:tc>
          <w:tcPr>
            <w:tcW w:w="992" w:type="dxa"/>
          </w:tcPr>
          <w:p w14:paraId="3133501D" w14:textId="263538FB" w:rsidR="00ED05B6"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0,12</w:t>
            </w:r>
          </w:p>
        </w:tc>
      </w:tr>
      <w:tr w:rsidR="00897868" w:rsidRPr="00483DC7" w14:paraId="71F4D24D" w14:textId="77777777" w:rsidTr="00980E34">
        <w:trPr>
          <w:trHeight w:val="172"/>
        </w:trPr>
        <w:tc>
          <w:tcPr>
            <w:tcW w:w="566" w:type="dxa"/>
            <w:vAlign w:val="center"/>
          </w:tcPr>
          <w:p w14:paraId="2E9F2B63" w14:textId="77777777" w:rsidR="00ED05B6"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10</w:t>
            </w:r>
          </w:p>
        </w:tc>
        <w:tc>
          <w:tcPr>
            <w:tcW w:w="3687" w:type="dxa"/>
            <w:vAlign w:val="center"/>
          </w:tcPr>
          <w:p w14:paraId="2B504CA2" w14:textId="05B30E9B" w:rsidR="00ED05B6"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MEC</w:t>
            </w:r>
          </w:p>
        </w:tc>
        <w:tc>
          <w:tcPr>
            <w:tcW w:w="1276" w:type="dxa"/>
          </w:tcPr>
          <w:p w14:paraId="4298AA42" w14:textId="68352112" w:rsidR="00ED05B6" w:rsidRPr="00483DC7" w:rsidRDefault="00E949A1"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20</w:t>
            </w:r>
          </w:p>
        </w:tc>
        <w:tc>
          <w:tcPr>
            <w:tcW w:w="1134" w:type="dxa"/>
            <w:vAlign w:val="center"/>
          </w:tcPr>
          <w:p w14:paraId="75C883C9" w14:textId="46A0622F"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137.335,38</w:t>
            </w:r>
          </w:p>
        </w:tc>
        <w:tc>
          <w:tcPr>
            <w:tcW w:w="992" w:type="dxa"/>
            <w:vAlign w:val="center"/>
          </w:tcPr>
          <w:p w14:paraId="28749FBF" w14:textId="7D7A6B7E"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11.386,53</w:t>
            </w:r>
          </w:p>
        </w:tc>
        <w:tc>
          <w:tcPr>
            <w:tcW w:w="1276" w:type="dxa"/>
            <w:vAlign w:val="center"/>
          </w:tcPr>
          <w:p w14:paraId="1D212141" w14:textId="0F88C0B5" w:rsidR="00ED05B6"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125.948,85</w:t>
            </w:r>
          </w:p>
        </w:tc>
        <w:tc>
          <w:tcPr>
            <w:tcW w:w="1134" w:type="dxa"/>
            <w:vAlign w:val="center"/>
          </w:tcPr>
          <w:p w14:paraId="1B057D4D" w14:textId="5DD3F601" w:rsidR="00ED05B6" w:rsidRPr="00483DC7" w:rsidRDefault="00E949A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137.546,85</w:t>
            </w:r>
          </w:p>
        </w:tc>
        <w:tc>
          <w:tcPr>
            <w:tcW w:w="992" w:type="dxa"/>
            <w:vAlign w:val="center"/>
          </w:tcPr>
          <w:p w14:paraId="3CA4BFC6" w14:textId="0E72354B" w:rsidR="00ED05B6" w:rsidRPr="00483DC7" w:rsidRDefault="00E949A1" w:rsidP="00980E34">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514,8</w:t>
            </w:r>
            <w:r w:rsidR="00980E34" w:rsidRPr="00483DC7">
              <w:rPr>
                <w:rFonts w:ascii="Times New Roman" w:hAnsi="Times New Roman" w:cs="Times New Roman"/>
                <w:sz w:val="16"/>
                <w:szCs w:val="16"/>
                <w:lang w:val="ro-MD"/>
              </w:rPr>
              <w:t>8</w:t>
            </w:r>
          </w:p>
        </w:tc>
        <w:tc>
          <w:tcPr>
            <w:tcW w:w="1276" w:type="dxa"/>
            <w:vAlign w:val="center"/>
          </w:tcPr>
          <w:p w14:paraId="175DEFBD" w14:textId="03E2BCB0" w:rsidR="00ED05B6" w:rsidRPr="00483DC7" w:rsidRDefault="00E949A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137.031,97</w:t>
            </w:r>
          </w:p>
        </w:tc>
        <w:tc>
          <w:tcPr>
            <w:tcW w:w="1276" w:type="dxa"/>
          </w:tcPr>
          <w:p w14:paraId="09C2F337" w14:textId="78A4547B" w:rsidR="00ED05B6" w:rsidRPr="00483DC7" w:rsidRDefault="00E949A1"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274.882,23</w:t>
            </w:r>
          </w:p>
        </w:tc>
        <w:tc>
          <w:tcPr>
            <w:tcW w:w="992" w:type="dxa"/>
          </w:tcPr>
          <w:p w14:paraId="16F93862" w14:textId="00F5B636" w:rsidR="00ED05B6"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1,89</w:t>
            </w:r>
          </w:p>
        </w:tc>
      </w:tr>
      <w:tr w:rsidR="00897868" w:rsidRPr="00483DC7" w14:paraId="76DCCE19" w14:textId="77777777" w:rsidTr="00980E34">
        <w:trPr>
          <w:trHeight w:val="162"/>
        </w:trPr>
        <w:tc>
          <w:tcPr>
            <w:tcW w:w="566" w:type="dxa"/>
            <w:vAlign w:val="center"/>
          </w:tcPr>
          <w:p w14:paraId="5834D7D8" w14:textId="77777777" w:rsidR="00C40475"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11</w:t>
            </w:r>
          </w:p>
        </w:tc>
        <w:tc>
          <w:tcPr>
            <w:tcW w:w="3687" w:type="dxa"/>
            <w:vAlign w:val="center"/>
          </w:tcPr>
          <w:p w14:paraId="7E496DAE" w14:textId="2DC98EBB" w:rsidR="00C40475"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MC</w:t>
            </w:r>
          </w:p>
        </w:tc>
        <w:tc>
          <w:tcPr>
            <w:tcW w:w="1276" w:type="dxa"/>
          </w:tcPr>
          <w:p w14:paraId="6201A1D9" w14:textId="008C0909" w:rsidR="00C40475" w:rsidRPr="00483DC7" w:rsidRDefault="00B81760"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3</w:t>
            </w:r>
          </w:p>
        </w:tc>
        <w:tc>
          <w:tcPr>
            <w:tcW w:w="1134" w:type="dxa"/>
            <w:vAlign w:val="center"/>
          </w:tcPr>
          <w:p w14:paraId="73AAE290" w14:textId="04973AD5"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5.991,66</w:t>
            </w:r>
          </w:p>
        </w:tc>
        <w:tc>
          <w:tcPr>
            <w:tcW w:w="992" w:type="dxa"/>
            <w:vAlign w:val="center"/>
          </w:tcPr>
          <w:p w14:paraId="7DC29B41" w14:textId="1271F40A"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5.991,66</w:t>
            </w:r>
          </w:p>
        </w:tc>
        <w:tc>
          <w:tcPr>
            <w:tcW w:w="1276" w:type="dxa"/>
            <w:vAlign w:val="center"/>
          </w:tcPr>
          <w:p w14:paraId="2DCB1103" w14:textId="46E89779"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6258786E" w14:textId="6AE2BB89" w:rsidR="00C40475" w:rsidRPr="00483DC7" w:rsidRDefault="00B81760"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17.626,37</w:t>
            </w:r>
          </w:p>
        </w:tc>
        <w:tc>
          <w:tcPr>
            <w:tcW w:w="992" w:type="dxa"/>
            <w:vAlign w:val="center"/>
          </w:tcPr>
          <w:p w14:paraId="7710F3B7" w14:textId="020F5B84" w:rsidR="00C40475" w:rsidRPr="00483DC7" w:rsidRDefault="00B81760"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17.626,37</w:t>
            </w:r>
          </w:p>
        </w:tc>
        <w:tc>
          <w:tcPr>
            <w:tcW w:w="1276" w:type="dxa"/>
            <w:vAlign w:val="center"/>
          </w:tcPr>
          <w:p w14:paraId="6062B8ED" w14:textId="1310B2DF" w:rsidR="00C40475" w:rsidRPr="00483DC7" w:rsidRDefault="00B81760"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465D4945" w14:textId="19FC2E85" w:rsidR="00C40475" w:rsidRPr="00483DC7" w:rsidRDefault="00B8176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23.618,03</w:t>
            </w:r>
          </w:p>
        </w:tc>
        <w:tc>
          <w:tcPr>
            <w:tcW w:w="992" w:type="dxa"/>
          </w:tcPr>
          <w:p w14:paraId="03D0A87F" w14:textId="73CB8591" w:rsidR="00C40475"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0,16</w:t>
            </w:r>
          </w:p>
        </w:tc>
      </w:tr>
      <w:tr w:rsidR="00897868" w:rsidRPr="00483DC7" w14:paraId="417B84F1" w14:textId="77777777" w:rsidTr="00980E34">
        <w:trPr>
          <w:trHeight w:val="162"/>
        </w:trPr>
        <w:tc>
          <w:tcPr>
            <w:tcW w:w="566" w:type="dxa"/>
            <w:vAlign w:val="center"/>
          </w:tcPr>
          <w:p w14:paraId="0FDB9D9B" w14:textId="77777777" w:rsidR="00C40475" w:rsidRPr="00483DC7" w:rsidRDefault="00C40475"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12</w:t>
            </w:r>
          </w:p>
        </w:tc>
        <w:tc>
          <w:tcPr>
            <w:tcW w:w="3687" w:type="dxa"/>
            <w:vAlign w:val="center"/>
          </w:tcPr>
          <w:p w14:paraId="7739F4FC" w14:textId="2AE4B9F2" w:rsidR="00C40475"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MMPS</w:t>
            </w:r>
          </w:p>
        </w:tc>
        <w:tc>
          <w:tcPr>
            <w:tcW w:w="1276" w:type="dxa"/>
          </w:tcPr>
          <w:p w14:paraId="057851CD" w14:textId="012AE75A" w:rsidR="00C40475" w:rsidRPr="00483DC7" w:rsidRDefault="00E51F82"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4</w:t>
            </w:r>
          </w:p>
        </w:tc>
        <w:tc>
          <w:tcPr>
            <w:tcW w:w="1134" w:type="dxa"/>
            <w:vAlign w:val="center"/>
          </w:tcPr>
          <w:p w14:paraId="73E6C876" w14:textId="198E4EA7"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128.275,65</w:t>
            </w:r>
          </w:p>
        </w:tc>
        <w:tc>
          <w:tcPr>
            <w:tcW w:w="992" w:type="dxa"/>
            <w:vAlign w:val="center"/>
          </w:tcPr>
          <w:p w14:paraId="77A55066" w14:textId="17E698A6"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128.275,65</w:t>
            </w:r>
          </w:p>
        </w:tc>
        <w:tc>
          <w:tcPr>
            <w:tcW w:w="1276" w:type="dxa"/>
            <w:vAlign w:val="center"/>
          </w:tcPr>
          <w:p w14:paraId="1C0A4AE0" w14:textId="25206B4B" w:rsidR="00C40475"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51E7238E" w14:textId="1E8895D6" w:rsidR="00C40475" w:rsidRPr="00483DC7" w:rsidRDefault="00E51F82"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97.063,32</w:t>
            </w:r>
          </w:p>
        </w:tc>
        <w:tc>
          <w:tcPr>
            <w:tcW w:w="992" w:type="dxa"/>
            <w:vAlign w:val="center"/>
          </w:tcPr>
          <w:p w14:paraId="2B4BD08F" w14:textId="61AFD46C" w:rsidR="00C40475" w:rsidRPr="00483DC7" w:rsidRDefault="00E51F82"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97.063,32</w:t>
            </w:r>
          </w:p>
        </w:tc>
        <w:tc>
          <w:tcPr>
            <w:tcW w:w="1276" w:type="dxa"/>
            <w:vAlign w:val="center"/>
          </w:tcPr>
          <w:p w14:paraId="168CCCDA" w14:textId="63A8D953" w:rsidR="00C40475" w:rsidRPr="00483DC7" w:rsidRDefault="00E51F82"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329B84F0" w14:textId="7B7D9E80" w:rsidR="00C40475" w:rsidRPr="00483DC7" w:rsidRDefault="00E51F82"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225.338,97</w:t>
            </w:r>
          </w:p>
        </w:tc>
        <w:tc>
          <w:tcPr>
            <w:tcW w:w="992" w:type="dxa"/>
          </w:tcPr>
          <w:p w14:paraId="1347B871" w14:textId="3037A0CD" w:rsidR="00C40475"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1,55</w:t>
            </w:r>
          </w:p>
        </w:tc>
      </w:tr>
      <w:tr w:rsidR="00897868" w:rsidRPr="00483DC7" w14:paraId="03B9E8E7" w14:textId="77777777" w:rsidTr="00980E34">
        <w:trPr>
          <w:trHeight w:val="162"/>
        </w:trPr>
        <w:tc>
          <w:tcPr>
            <w:tcW w:w="566" w:type="dxa"/>
            <w:vAlign w:val="center"/>
          </w:tcPr>
          <w:p w14:paraId="0B2E9C29" w14:textId="3A5F4221" w:rsidR="00A77174" w:rsidRPr="00483DC7" w:rsidRDefault="00A77174"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13</w:t>
            </w:r>
          </w:p>
        </w:tc>
        <w:tc>
          <w:tcPr>
            <w:tcW w:w="3687" w:type="dxa"/>
            <w:vAlign w:val="center"/>
          </w:tcPr>
          <w:p w14:paraId="16299A8D" w14:textId="0B833F43" w:rsidR="00A77174" w:rsidRPr="00483DC7" w:rsidRDefault="00A77174"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MS</w:t>
            </w:r>
          </w:p>
        </w:tc>
        <w:tc>
          <w:tcPr>
            <w:tcW w:w="1276" w:type="dxa"/>
          </w:tcPr>
          <w:p w14:paraId="551ADBE7" w14:textId="6F2B1755" w:rsidR="00A77174" w:rsidRPr="00483DC7" w:rsidRDefault="00205B6F"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11</w:t>
            </w:r>
          </w:p>
        </w:tc>
        <w:tc>
          <w:tcPr>
            <w:tcW w:w="1134" w:type="dxa"/>
            <w:vAlign w:val="center"/>
          </w:tcPr>
          <w:p w14:paraId="02730E1B" w14:textId="38FF059A" w:rsidR="00A77174"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214.488,20</w:t>
            </w:r>
          </w:p>
        </w:tc>
        <w:tc>
          <w:tcPr>
            <w:tcW w:w="992" w:type="dxa"/>
            <w:vAlign w:val="center"/>
          </w:tcPr>
          <w:p w14:paraId="12F0C57A" w14:textId="399EA5F4" w:rsidR="00A77174"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186.057,98</w:t>
            </w:r>
          </w:p>
        </w:tc>
        <w:tc>
          <w:tcPr>
            <w:tcW w:w="1276" w:type="dxa"/>
            <w:vAlign w:val="center"/>
          </w:tcPr>
          <w:p w14:paraId="39D49E7B" w14:textId="76A7AA08" w:rsidR="00A77174" w:rsidRPr="00483DC7" w:rsidRDefault="00A7717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28.430,21</w:t>
            </w:r>
          </w:p>
        </w:tc>
        <w:tc>
          <w:tcPr>
            <w:tcW w:w="1134" w:type="dxa"/>
            <w:vAlign w:val="center"/>
          </w:tcPr>
          <w:p w14:paraId="2CD0B844" w14:textId="0E18F59C" w:rsidR="00A77174" w:rsidRPr="00483DC7" w:rsidRDefault="007857E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522.215,12</w:t>
            </w:r>
          </w:p>
        </w:tc>
        <w:tc>
          <w:tcPr>
            <w:tcW w:w="992" w:type="dxa"/>
            <w:vAlign w:val="center"/>
          </w:tcPr>
          <w:p w14:paraId="5E39CB8A" w14:textId="5DE8FDBB" w:rsidR="00A77174" w:rsidRPr="00483DC7" w:rsidRDefault="007857E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106.208,30</w:t>
            </w:r>
          </w:p>
        </w:tc>
        <w:tc>
          <w:tcPr>
            <w:tcW w:w="1276" w:type="dxa"/>
            <w:vAlign w:val="center"/>
          </w:tcPr>
          <w:p w14:paraId="6A4247DE" w14:textId="0A0BD3D8" w:rsidR="00A77174" w:rsidRPr="00483DC7" w:rsidRDefault="007857E6"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416.006,82</w:t>
            </w:r>
          </w:p>
        </w:tc>
        <w:tc>
          <w:tcPr>
            <w:tcW w:w="1276" w:type="dxa"/>
          </w:tcPr>
          <w:p w14:paraId="0BCC0E95" w14:textId="75639A74" w:rsidR="00A77174" w:rsidRPr="00483DC7" w:rsidRDefault="007857E6"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736.703,32</w:t>
            </w:r>
          </w:p>
        </w:tc>
        <w:tc>
          <w:tcPr>
            <w:tcW w:w="992" w:type="dxa"/>
          </w:tcPr>
          <w:p w14:paraId="2E581211" w14:textId="41792CCC" w:rsidR="00A77174"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5,05</w:t>
            </w:r>
          </w:p>
        </w:tc>
      </w:tr>
      <w:tr w:rsidR="00205B6F" w:rsidRPr="00483DC7" w14:paraId="5A92FF8E" w14:textId="77777777" w:rsidTr="00980E34">
        <w:trPr>
          <w:trHeight w:val="162"/>
        </w:trPr>
        <w:tc>
          <w:tcPr>
            <w:tcW w:w="566" w:type="dxa"/>
            <w:vAlign w:val="center"/>
          </w:tcPr>
          <w:p w14:paraId="27339426" w14:textId="7329D6D6" w:rsidR="00205B6F"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14</w:t>
            </w:r>
          </w:p>
        </w:tc>
        <w:tc>
          <w:tcPr>
            <w:tcW w:w="3687" w:type="dxa"/>
            <w:vAlign w:val="center"/>
          </w:tcPr>
          <w:p w14:paraId="00C74E39" w14:textId="7A20A074" w:rsidR="00205B6F" w:rsidRPr="00483DC7" w:rsidRDefault="00205B6F"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ME</w:t>
            </w:r>
          </w:p>
        </w:tc>
        <w:tc>
          <w:tcPr>
            <w:tcW w:w="1276" w:type="dxa"/>
          </w:tcPr>
          <w:p w14:paraId="7910A111" w14:textId="4501DEDF" w:rsidR="00205B6F" w:rsidRPr="00483DC7" w:rsidRDefault="00205B6F"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5</w:t>
            </w:r>
          </w:p>
        </w:tc>
        <w:tc>
          <w:tcPr>
            <w:tcW w:w="1134" w:type="dxa"/>
            <w:vAlign w:val="center"/>
          </w:tcPr>
          <w:p w14:paraId="0E000A82" w14:textId="47130420" w:rsidR="00205B6F" w:rsidRPr="00483DC7" w:rsidRDefault="00205B6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992" w:type="dxa"/>
            <w:vAlign w:val="center"/>
          </w:tcPr>
          <w:p w14:paraId="329FC983" w14:textId="4030C0B6" w:rsidR="00205B6F" w:rsidRPr="00483DC7" w:rsidRDefault="00205B6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vAlign w:val="center"/>
          </w:tcPr>
          <w:p w14:paraId="3702677B" w14:textId="2B5FFECA" w:rsidR="00205B6F" w:rsidRPr="00483DC7" w:rsidRDefault="00205B6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724898B2" w14:textId="14BE5252" w:rsidR="00205B6F" w:rsidRPr="00483DC7" w:rsidRDefault="00980E3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2.211.953,84</w:t>
            </w:r>
          </w:p>
        </w:tc>
        <w:tc>
          <w:tcPr>
            <w:tcW w:w="992" w:type="dxa"/>
            <w:vAlign w:val="center"/>
          </w:tcPr>
          <w:p w14:paraId="6616DBA6" w14:textId="7EAEF9B1" w:rsidR="00205B6F" w:rsidRPr="00483DC7" w:rsidRDefault="00205B6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2.389,20</w:t>
            </w:r>
          </w:p>
        </w:tc>
        <w:tc>
          <w:tcPr>
            <w:tcW w:w="1276" w:type="dxa"/>
            <w:vAlign w:val="center"/>
          </w:tcPr>
          <w:p w14:paraId="15F55A3B" w14:textId="64DFB0A7" w:rsidR="00205B6F" w:rsidRPr="00483DC7" w:rsidRDefault="00205B6F"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2.209.564,64</w:t>
            </w:r>
          </w:p>
        </w:tc>
        <w:tc>
          <w:tcPr>
            <w:tcW w:w="1276" w:type="dxa"/>
          </w:tcPr>
          <w:p w14:paraId="009344A2" w14:textId="6D73652A" w:rsidR="00205B6F" w:rsidRPr="00483DC7" w:rsidRDefault="00205B6F"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2.211.953,85</w:t>
            </w:r>
          </w:p>
        </w:tc>
        <w:tc>
          <w:tcPr>
            <w:tcW w:w="992" w:type="dxa"/>
          </w:tcPr>
          <w:p w14:paraId="2CBC9AFF" w14:textId="72F89830" w:rsidR="00205B6F"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15,17</w:t>
            </w:r>
          </w:p>
        </w:tc>
      </w:tr>
      <w:tr w:rsidR="00897868" w:rsidRPr="00483DC7" w14:paraId="74D1CDF9" w14:textId="77777777" w:rsidTr="00980E34">
        <w:trPr>
          <w:trHeight w:val="162"/>
        </w:trPr>
        <w:tc>
          <w:tcPr>
            <w:tcW w:w="566" w:type="dxa"/>
            <w:vAlign w:val="center"/>
          </w:tcPr>
          <w:p w14:paraId="3AA7ECBD" w14:textId="11A417F7" w:rsidR="00C40475"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15</w:t>
            </w:r>
          </w:p>
        </w:tc>
        <w:tc>
          <w:tcPr>
            <w:tcW w:w="3687" w:type="dxa"/>
            <w:vAlign w:val="center"/>
          </w:tcPr>
          <w:p w14:paraId="5731EAAC" w14:textId="3E354C42" w:rsidR="00C40475" w:rsidRPr="00483DC7" w:rsidRDefault="00897868"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Biroul Național de Statistică</w:t>
            </w:r>
          </w:p>
        </w:tc>
        <w:tc>
          <w:tcPr>
            <w:tcW w:w="1276" w:type="dxa"/>
          </w:tcPr>
          <w:p w14:paraId="3104A46C" w14:textId="5DFF3535" w:rsidR="00C40475" w:rsidRPr="00483DC7" w:rsidRDefault="00583145"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1A249835" w14:textId="4AC05857"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211,54</w:t>
            </w:r>
          </w:p>
        </w:tc>
        <w:tc>
          <w:tcPr>
            <w:tcW w:w="992" w:type="dxa"/>
            <w:vAlign w:val="center"/>
          </w:tcPr>
          <w:p w14:paraId="08EFDBFC" w14:textId="09157CBA"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211,54</w:t>
            </w:r>
          </w:p>
        </w:tc>
        <w:tc>
          <w:tcPr>
            <w:tcW w:w="1276" w:type="dxa"/>
            <w:vAlign w:val="center"/>
          </w:tcPr>
          <w:p w14:paraId="74D704E5" w14:textId="5D5929A3"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77E3C7CA" w14:textId="218DEB54"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126,10</w:t>
            </w:r>
          </w:p>
        </w:tc>
        <w:tc>
          <w:tcPr>
            <w:tcW w:w="992" w:type="dxa"/>
            <w:vAlign w:val="center"/>
          </w:tcPr>
          <w:p w14:paraId="7874814C" w14:textId="78AF5350"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126,10</w:t>
            </w:r>
          </w:p>
        </w:tc>
        <w:tc>
          <w:tcPr>
            <w:tcW w:w="1276" w:type="dxa"/>
            <w:vAlign w:val="center"/>
          </w:tcPr>
          <w:p w14:paraId="289136A0" w14:textId="3C964440" w:rsidR="00C40475"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65E94EE5" w14:textId="400FCDE1" w:rsidR="00C40475" w:rsidRPr="00483DC7" w:rsidRDefault="00583145"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337,64</w:t>
            </w:r>
          </w:p>
        </w:tc>
        <w:tc>
          <w:tcPr>
            <w:tcW w:w="992" w:type="dxa"/>
          </w:tcPr>
          <w:p w14:paraId="42849EED" w14:textId="412C3AAA" w:rsidR="00C40475"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0,00</w:t>
            </w:r>
          </w:p>
        </w:tc>
      </w:tr>
      <w:tr w:rsidR="00897868" w:rsidRPr="00483DC7" w14:paraId="46578F51" w14:textId="77777777" w:rsidTr="00980E34">
        <w:trPr>
          <w:trHeight w:val="172"/>
        </w:trPr>
        <w:tc>
          <w:tcPr>
            <w:tcW w:w="566" w:type="dxa"/>
            <w:vAlign w:val="center"/>
          </w:tcPr>
          <w:p w14:paraId="22FDF26A" w14:textId="72AE114E" w:rsidR="00E62651"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16</w:t>
            </w:r>
          </w:p>
        </w:tc>
        <w:tc>
          <w:tcPr>
            <w:tcW w:w="3687" w:type="dxa"/>
            <w:vAlign w:val="center"/>
          </w:tcPr>
          <w:p w14:paraId="0349A05B" w14:textId="51A7CE33" w:rsidR="00E62651" w:rsidRPr="00483DC7" w:rsidRDefault="00897868"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Agenția Națională pentru Cercetare și Dezvoltare</w:t>
            </w:r>
          </w:p>
        </w:tc>
        <w:tc>
          <w:tcPr>
            <w:tcW w:w="1276" w:type="dxa"/>
          </w:tcPr>
          <w:p w14:paraId="3A99805A" w14:textId="076A6276" w:rsidR="00E62651" w:rsidRPr="00483DC7" w:rsidRDefault="00583145"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2DDDC681" w14:textId="74745663" w:rsidR="00E62651" w:rsidRPr="00483DC7" w:rsidRDefault="003F70B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1.542,23</w:t>
            </w:r>
          </w:p>
        </w:tc>
        <w:tc>
          <w:tcPr>
            <w:tcW w:w="992" w:type="dxa"/>
            <w:vAlign w:val="center"/>
          </w:tcPr>
          <w:p w14:paraId="30150A1F" w14:textId="50653DCD" w:rsidR="00E62651" w:rsidRPr="00483DC7" w:rsidRDefault="003F70B4"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1.542,23</w:t>
            </w:r>
          </w:p>
        </w:tc>
        <w:tc>
          <w:tcPr>
            <w:tcW w:w="1276" w:type="dxa"/>
            <w:vAlign w:val="center"/>
          </w:tcPr>
          <w:p w14:paraId="32321723" w14:textId="11067114" w:rsidR="00E62651"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46AE6551" w14:textId="62D3A263" w:rsidR="00E62651"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2.382,11</w:t>
            </w:r>
          </w:p>
        </w:tc>
        <w:tc>
          <w:tcPr>
            <w:tcW w:w="992" w:type="dxa"/>
            <w:vAlign w:val="center"/>
          </w:tcPr>
          <w:p w14:paraId="2B71B8D5" w14:textId="76BA4634" w:rsidR="00E62651"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2.382,11</w:t>
            </w:r>
          </w:p>
        </w:tc>
        <w:tc>
          <w:tcPr>
            <w:tcW w:w="1276" w:type="dxa"/>
            <w:vAlign w:val="center"/>
          </w:tcPr>
          <w:p w14:paraId="44CC8624" w14:textId="03CD564B" w:rsidR="00E62651"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7542E6D8" w14:textId="22201730" w:rsidR="00E62651" w:rsidRPr="00483DC7" w:rsidRDefault="00583145"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3.924,34</w:t>
            </w:r>
          </w:p>
        </w:tc>
        <w:tc>
          <w:tcPr>
            <w:tcW w:w="992" w:type="dxa"/>
          </w:tcPr>
          <w:p w14:paraId="229EEF85" w14:textId="242B07D6" w:rsidR="00E62651"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0,03</w:t>
            </w:r>
          </w:p>
        </w:tc>
      </w:tr>
      <w:tr w:rsidR="00897868" w:rsidRPr="00483DC7" w14:paraId="75509AFF" w14:textId="77777777" w:rsidTr="00980E34">
        <w:trPr>
          <w:trHeight w:val="162"/>
        </w:trPr>
        <w:tc>
          <w:tcPr>
            <w:tcW w:w="566" w:type="dxa"/>
            <w:vAlign w:val="center"/>
          </w:tcPr>
          <w:p w14:paraId="34617414" w14:textId="0D805578" w:rsidR="00CC5CAB"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17</w:t>
            </w:r>
          </w:p>
        </w:tc>
        <w:tc>
          <w:tcPr>
            <w:tcW w:w="3687" w:type="dxa"/>
            <w:vAlign w:val="center"/>
          </w:tcPr>
          <w:p w14:paraId="19AEE5CE" w14:textId="3839D6D4" w:rsidR="00CC5CAB" w:rsidRPr="00483DC7" w:rsidRDefault="00CC5CAB"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Agenția de Investiții</w:t>
            </w:r>
          </w:p>
        </w:tc>
        <w:tc>
          <w:tcPr>
            <w:tcW w:w="1276" w:type="dxa"/>
          </w:tcPr>
          <w:p w14:paraId="65B2CEB3" w14:textId="2D5E2984" w:rsidR="00CC5CAB" w:rsidRPr="00483DC7" w:rsidRDefault="00583145"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17B09214" w14:textId="427B3B2A"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1.755,75</w:t>
            </w:r>
          </w:p>
        </w:tc>
        <w:tc>
          <w:tcPr>
            <w:tcW w:w="992" w:type="dxa"/>
            <w:vAlign w:val="center"/>
          </w:tcPr>
          <w:p w14:paraId="6BE0D611" w14:textId="2008B685"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1.755,75</w:t>
            </w:r>
          </w:p>
        </w:tc>
        <w:tc>
          <w:tcPr>
            <w:tcW w:w="1276" w:type="dxa"/>
            <w:vAlign w:val="center"/>
          </w:tcPr>
          <w:p w14:paraId="2B812AFC" w14:textId="5FBFEFB9"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155AD31A" w14:textId="78FE0A7C"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992" w:type="dxa"/>
            <w:vAlign w:val="center"/>
          </w:tcPr>
          <w:p w14:paraId="58613FD8" w14:textId="51FC5E1D"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vAlign w:val="center"/>
          </w:tcPr>
          <w:p w14:paraId="25DB328A" w14:textId="1D6BD99C" w:rsidR="00CC5CAB" w:rsidRPr="00483DC7" w:rsidRDefault="00583145"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652E8F47" w14:textId="0D42AAD0" w:rsidR="00CC5CAB" w:rsidRPr="00483DC7" w:rsidRDefault="00583145"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1.755,75</w:t>
            </w:r>
          </w:p>
        </w:tc>
        <w:tc>
          <w:tcPr>
            <w:tcW w:w="992" w:type="dxa"/>
          </w:tcPr>
          <w:p w14:paraId="463B8B02" w14:textId="560E40CB"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0,01</w:t>
            </w:r>
          </w:p>
        </w:tc>
      </w:tr>
      <w:tr w:rsidR="00897868" w:rsidRPr="00483DC7" w14:paraId="3AB462B6" w14:textId="77777777" w:rsidTr="00980E34">
        <w:trPr>
          <w:trHeight w:val="162"/>
        </w:trPr>
        <w:tc>
          <w:tcPr>
            <w:tcW w:w="566" w:type="dxa"/>
            <w:vAlign w:val="center"/>
          </w:tcPr>
          <w:p w14:paraId="30572F95" w14:textId="41E640BC" w:rsidR="00CC5CAB"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18</w:t>
            </w:r>
          </w:p>
        </w:tc>
        <w:tc>
          <w:tcPr>
            <w:tcW w:w="3687" w:type="dxa"/>
            <w:vAlign w:val="center"/>
          </w:tcPr>
          <w:p w14:paraId="1BC94637" w14:textId="7CF3D24B" w:rsidR="00CC5CAB" w:rsidRPr="00483DC7" w:rsidRDefault="00897868"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Agenția de Stat pentru Proprietatea Intelectuală</w:t>
            </w:r>
          </w:p>
        </w:tc>
        <w:tc>
          <w:tcPr>
            <w:tcW w:w="1276" w:type="dxa"/>
          </w:tcPr>
          <w:p w14:paraId="139772B7" w14:textId="6DCA4DBA" w:rsidR="00CC5CAB" w:rsidRPr="00483DC7" w:rsidRDefault="00052721"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34189BF1" w14:textId="168279E0"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250,43</w:t>
            </w:r>
          </w:p>
        </w:tc>
        <w:tc>
          <w:tcPr>
            <w:tcW w:w="992" w:type="dxa"/>
            <w:vAlign w:val="center"/>
          </w:tcPr>
          <w:p w14:paraId="2F232EA4" w14:textId="3517CCC4"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250,43</w:t>
            </w:r>
          </w:p>
        </w:tc>
        <w:tc>
          <w:tcPr>
            <w:tcW w:w="1276" w:type="dxa"/>
            <w:vAlign w:val="center"/>
          </w:tcPr>
          <w:p w14:paraId="73C104FE" w14:textId="652D8BFE"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4EE9860C" w14:textId="61D9CDA1"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992" w:type="dxa"/>
            <w:vAlign w:val="center"/>
          </w:tcPr>
          <w:p w14:paraId="6FC86B46" w14:textId="637AE7C1"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vAlign w:val="center"/>
          </w:tcPr>
          <w:p w14:paraId="76C8525D" w14:textId="09F41FCB"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7E0CB663" w14:textId="51045E4D" w:rsidR="00CC5CAB" w:rsidRPr="00483DC7" w:rsidRDefault="00052721"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250,43</w:t>
            </w:r>
          </w:p>
        </w:tc>
        <w:tc>
          <w:tcPr>
            <w:tcW w:w="992" w:type="dxa"/>
          </w:tcPr>
          <w:p w14:paraId="48BDF6DD" w14:textId="44E419EB"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0,00</w:t>
            </w:r>
          </w:p>
        </w:tc>
      </w:tr>
      <w:tr w:rsidR="00897868" w:rsidRPr="00483DC7" w14:paraId="42FAABB0" w14:textId="77777777" w:rsidTr="00980E34">
        <w:trPr>
          <w:trHeight w:val="162"/>
        </w:trPr>
        <w:tc>
          <w:tcPr>
            <w:tcW w:w="566" w:type="dxa"/>
            <w:vAlign w:val="center"/>
          </w:tcPr>
          <w:p w14:paraId="14008998" w14:textId="37EB83BE" w:rsidR="00CC5CAB"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19</w:t>
            </w:r>
          </w:p>
        </w:tc>
        <w:tc>
          <w:tcPr>
            <w:tcW w:w="3687" w:type="dxa"/>
            <w:vAlign w:val="center"/>
          </w:tcPr>
          <w:p w14:paraId="73AB373A" w14:textId="2A9BD45F" w:rsidR="00CC5CAB" w:rsidRPr="00483DC7" w:rsidRDefault="00897868" w:rsidP="00897868">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Comisia Electorală Centrală</w:t>
            </w:r>
          </w:p>
        </w:tc>
        <w:tc>
          <w:tcPr>
            <w:tcW w:w="1276" w:type="dxa"/>
          </w:tcPr>
          <w:p w14:paraId="0A728FF4" w14:textId="50F8687F" w:rsidR="00CC5CAB" w:rsidRPr="00483DC7" w:rsidRDefault="00052721"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68093C0F" w14:textId="7F98F80C"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315,84</w:t>
            </w:r>
          </w:p>
        </w:tc>
        <w:tc>
          <w:tcPr>
            <w:tcW w:w="992" w:type="dxa"/>
            <w:vAlign w:val="center"/>
          </w:tcPr>
          <w:p w14:paraId="45520309" w14:textId="282680FA"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315,84</w:t>
            </w:r>
          </w:p>
        </w:tc>
        <w:tc>
          <w:tcPr>
            <w:tcW w:w="1276" w:type="dxa"/>
            <w:vAlign w:val="center"/>
          </w:tcPr>
          <w:p w14:paraId="764B4636" w14:textId="2A3FEDAD"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40D16C92" w14:textId="2E46BC3B"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1.094,13</w:t>
            </w:r>
          </w:p>
        </w:tc>
        <w:tc>
          <w:tcPr>
            <w:tcW w:w="992" w:type="dxa"/>
            <w:vAlign w:val="center"/>
          </w:tcPr>
          <w:p w14:paraId="3D3EE6B2" w14:textId="70CD3D2A"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1.094,13</w:t>
            </w:r>
          </w:p>
        </w:tc>
        <w:tc>
          <w:tcPr>
            <w:tcW w:w="1276" w:type="dxa"/>
            <w:vAlign w:val="center"/>
          </w:tcPr>
          <w:p w14:paraId="31250359" w14:textId="062E5EFF" w:rsidR="00CC5CAB" w:rsidRPr="00483DC7" w:rsidRDefault="00052721"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73FE2826" w14:textId="46BD8A28" w:rsidR="00CC5CAB" w:rsidRPr="00483DC7" w:rsidRDefault="00052721"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1409,97</w:t>
            </w:r>
          </w:p>
        </w:tc>
        <w:tc>
          <w:tcPr>
            <w:tcW w:w="992" w:type="dxa"/>
          </w:tcPr>
          <w:p w14:paraId="78572A32" w14:textId="174EB537"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0,01</w:t>
            </w:r>
          </w:p>
        </w:tc>
      </w:tr>
      <w:tr w:rsidR="00897868" w:rsidRPr="00483DC7" w14:paraId="31234DCE" w14:textId="77777777" w:rsidTr="00980E34">
        <w:trPr>
          <w:trHeight w:val="162"/>
        </w:trPr>
        <w:tc>
          <w:tcPr>
            <w:tcW w:w="566" w:type="dxa"/>
            <w:vAlign w:val="center"/>
          </w:tcPr>
          <w:p w14:paraId="6AC7867D" w14:textId="7ED28DFA" w:rsidR="00CC5CAB"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20</w:t>
            </w:r>
          </w:p>
        </w:tc>
        <w:tc>
          <w:tcPr>
            <w:tcW w:w="3687" w:type="dxa"/>
            <w:vAlign w:val="center"/>
          </w:tcPr>
          <w:p w14:paraId="037F4C05" w14:textId="161A5E95" w:rsidR="00CC5CAB" w:rsidRPr="00483DC7" w:rsidRDefault="00152A4A"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Serviciu de Protecție și Pază de Stat</w:t>
            </w:r>
          </w:p>
        </w:tc>
        <w:tc>
          <w:tcPr>
            <w:tcW w:w="1276" w:type="dxa"/>
          </w:tcPr>
          <w:p w14:paraId="459410CA" w14:textId="0103714D" w:rsidR="00CC5CAB" w:rsidRPr="00483DC7" w:rsidRDefault="00700117"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w:t>
            </w:r>
          </w:p>
        </w:tc>
        <w:tc>
          <w:tcPr>
            <w:tcW w:w="1134" w:type="dxa"/>
            <w:vAlign w:val="center"/>
          </w:tcPr>
          <w:p w14:paraId="5C54FF54" w14:textId="7640F519"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2.219,41</w:t>
            </w:r>
          </w:p>
        </w:tc>
        <w:tc>
          <w:tcPr>
            <w:tcW w:w="992" w:type="dxa"/>
            <w:vAlign w:val="center"/>
          </w:tcPr>
          <w:p w14:paraId="43D43393" w14:textId="47ADD9E4"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2.219,41</w:t>
            </w:r>
          </w:p>
        </w:tc>
        <w:tc>
          <w:tcPr>
            <w:tcW w:w="1276" w:type="dxa"/>
            <w:vAlign w:val="center"/>
          </w:tcPr>
          <w:p w14:paraId="3ECB641F" w14:textId="06C355D8"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1BCCCB50" w14:textId="6B64F24C"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282,66</w:t>
            </w:r>
          </w:p>
        </w:tc>
        <w:tc>
          <w:tcPr>
            <w:tcW w:w="992" w:type="dxa"/>
            <w:vAlign w:val="center"/>
          </w:tcPr>
          <w:p w14:paraId="1AA06B92" w14:textId="53259D07"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282,66</w:t>
            </w:r>
          </w:p>
        </w:tc>
        <w:tc>
          <w:tcPr>
            <w:tcW w:w="1276" w:type="dxa"/>
            <w:vAlign w:val="center"/>
          </w:tcPr>
          <w:p w14:paraId="174B79A9" w14:textId="3A4B8B45" w:rsidR="00CC5CAB" w:rsidRPr="00483DC7" w:rsidRDefault="00946D28"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45871605" w14:textId="2469E619" w:rsidR="00CC5CAB" w:rsidRPr="00483DC7" w:rsidRDefault="00946D28"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2502,07</w:t>
            </w:r>
          </w:p>
        </w:tc>
        <w:tc>
          <w:tcPr>
            <w:tcW w:w="992" w:type="dxa"/>
          </w:tcPr>
          <w:p w14:paraId="6A649E8C" w14:textId="68F49DA2"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0,02</w:t>
            </w:r>
          </w:p>
        </w:tc>
      </w:tr>
      <w:tr w:rsidR="00897868" w:rsidRPr="00483DC7" w14:paraId="1B27BBAA" w14:textId="77777777" w:rsidTr="00980E34">
        <w:trPr>
          <w:trHeight w:val="162"/>
        </w:trPr>
        <w:tc>
          <w:tcPr>
            <w:tcW w:w="566" w:type="dxa"/>
            <w:vAlign w:val="center"/>
          </w:tcPr>
          <w:p w14:paraId="56AB845F" w14:textId="03758C02" w:rsidR="00CC5CAB" w:rsidRPr="00483DC7" w:rsidRDefault="00205B6F" w:rsidP="00946C47">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21</w:t>
            </w:r>
          </w:p>
        </w:tc>
        <w:tc>
          <w:tcPr>
            <w:tcW w:w="3687" w:type="dxa"/>
            <w:vAlign w:val="center"/>
          </w:tcPr>
          <w:p w14:paraId="0D020782" w14:textId="2C3CED90" w:rsidR="00CC5CAB" w:rsidRPr="00483DC7" w:rsidRDefault="00152A4A" w:rsidP="00946C47">
            <w:pPr>
              <w:tabs>
                <w:tab w:val="left" w:pos="228"/>
                <w:tab w:val="left" w:pos="10620"/>
              </w:tabs>
              <w:rPr>
                <w:rFonts w:ascii="Times New Roman" w:hAnsi="Times New Roman" w:cs="Times New Roman"/>
                <w:sz w:val="16"/>
                <w:szCs w:val="16"/>
                <w:lang w:val="ro-MD"/>
              </w:rPr>
            </w:pPr>
            <w:r w:rsidRPr="00483DC7">
              <w:rPr>
                <w:rFonts w:ascii="Times New Roman" w:hAnsi="Times New Roman" w:cs="Times New Roman"/>
                <w:sz w:val="16"/>
                <w:szCs w:val="16"/>
                <w:lang w:val="ro-MD"/>
              </w:rPr>
              <w:t>Academia de Științe a Moldovei</w:t>
            </w:r>
          </w:p>
        </w:tc>
        <w:tc>
          <w:tcPr>
            <w:tcW w:w="1276" w:type="dxa"/>
          </w:tcPr>
          <w:p w14:paraId="21E6B549" w14:textId="449372BA" w:rsidR="00CC5CAB" w:rsidRPr="00483DC7" w:rsidRDefault="00700117" w:rsidP="00ED05B6">
            <w:pPr>
              <w:tabs>
                <w:tab w:val="left" w:pos="228"/>
                <w:tab w:val="left" w:pos="10620"/>
              </w:tabs>
              <w:jc w:val="center"/>
              <w:rPr>
                <w:rFonts w:ascii="Times New Roman" w:hAnsi="Times New Roman" w:cs="Times New Roman"/>
                <w:sz w:val="16"/>
                <w:szCs w:val="16"/>
                <w:lang w:val="ro-MD"/>
              </w:rPr>
            </w:pPr>
            <w:r w:rsidRPr="00483DC7">
              <w:rPr>
                <w:rFonts w:ascii="Times New Roman" w:hAnsi="Times New Roman" w:cs="Times New Roman"/>
                <w:sz w:val="16"/>
                <w:szCs w:val="16"/>
                <w:lang w:val="ro-MD"/>
              </w:rPr>
              <w:t>1</w:t>
            </w:r>
          </w:p>
        </w:tc>
        <w:tc>
          <w:tcPr>
            <w:tcW w:w="1134" w:type="dxa"/>
            <w:vAlign w:val="center"/>
          </w:tcPr>
          <w:p w14:paraId="2AC567B2" w14:textId="15D3AF13"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385,70</w:t>
            </w:r>
          </w:p>
        </w:tc>
        <w:tc>
          <w:tcPr>
            <w:tcW w:w="992" w:type="dxa"/>
            <w:vAlign w:val="center"/>
          </w:tcPr>
          <w:p w14:paraId="7227D7A6" w14:textId="4FCAEEB7"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385,70</w:t>
            </w:r>
          </w:p>
        </w:tc>
        <w:tc>
          <w:tcPr>
            <w:tcW w:w="1276" w:type="dxa"/>
            <w:vAlign w:val="center"/>
          </w:tcPr>
          <w:p w14:paraId="7D890026" w14:textId="5D2A0237"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134" w:type="dxa"/>
            <w:vAlign w:val="center"/>
          </w:tcPr>
          <w:p w14:paraId="0BD7B3F5" w14:textId="42162108"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578,37</w:t>
            </w:r>
          </w:p>
        </w:tc>
        <w:tc>
          <w:tcPr>
            <w:tcW w:w="992" w:type="dxa"/>
            <w:vAlign w:val="center"/>
          </w:tcPr>
          <w:p w14:paraId="6D1F851C" w14:textId="54424A39"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578,37</w:t>
            </w:r>
          </w:p>
        </w:tc>
        <w:tc>
          <w:tcPr>
            <w:tcW w:w="1276" w:type="dxa"/>
            <w:vAlign w:val="center"/>
          </w:tcPr>
          <w:p w14:paraId="6D426B78" w14:textId="32CF7A88" w:rsidR="00CC5CAB" w:rsidRPr="00483DC7" w:rsidRDefault="00700117" w:rsidP="00ED05B6">
            <w:pPr>
              <w:tabs>
                <w:tab w:val="left" w:pos="228"/>
                <w:tab w:val="left" w:pos="10620"/>
              </w:tabs>
              <w:jc w:val="right"/>
              <w:rPr>
                <w:rFonts w:ascii="Times New Roman" w:hAnsi="Times New Roman" w:cs="Times New Roman"/>
                <w:sz w:val="16"/>
                <w:szCs w:val="16"/>
                <w:lang w:val="ro-MD"/>
              </w:rPr>
            </w:pPr>
            <w:r w:rsidRPr="00483DC7">
              <w:rPr>
                <w:rFonts w:ascii="Times New Roman" w:hAnsi="Times New Roman" w:cs="Times New Roman"/>
                <w:sz w:val="16"/>
                <w:szCs w:val="16"/>
                <w:lang w:val="ro-MD"/>
              </w:rPr>
              <w:t>0,00</w:t>
            </w:r>
          </w:p>
        </w:tc>
        <w:tc>
          <w:tcPr>
            <w:tcW w:w="1276" w:type="dxa"/>
          </w:tcPr>
          <w:p w14:paraId="2821D4CE" w14:textId="09CA86C5" w:rsidR="00CC5CAB" w:rsidRPr="00483DC7" w:rsidRDefault="00700117"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964,07</w:t>
            </w:r>
          </w:p>
        </w:tc>
        <w:tc>
          <w:tcPr>
            <w:tcW w:w="992" w:type="dxa"/>
          </w:tcPr>
          <w:p w14:paraId="34EDA034" w14:textId="2AD351C1"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0,01</w:t>
            </w:r>
          </w:p>
        </w:tc>
      </w:tr>
      <w:tr w:rsidR="00897868" w:rsidRPr="00483DC7" w14:paraId="3ECFE886" w14:textId="77777777" w:rsidTr="00980E34">
        <w:trPr>
          <w:trHeight w:val="172"/>
        </w:trPr>
        <w:tc>
          <w:tcPr>
            <w:tcW w:w="4253" w:type="dxa"/>
            <w:gridSpan w:val="2"/>
            <w:tcBorders>
              <w:bottom w:val="single" w:sz="4" w:space="0" w:color="auto"/>
            </w:tcBorders>
            <w:shd w:val="clear" w:color="auto" w:fill="FFF2CC" w:themeFill="accent4" w:themeFillTint="33"/>
            <w:vAlign w:val="center"/>
          </w:tcPr>
          <w:p w14:paraId="208FFA08" w14:textId="7E85DD29" w:rsidR="00CC5CAB" w:rsidRPr="00483DC7" w:rsidRDefault="00CC5CAB" w:rsidP="00CC5CAB">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TOTAL</w:t>
            </w:r>
          </w:p>
        </w:tc>
        <w:tc>
          <w:tcPr>
            <w:tcW w:w="1276" w:type="dxa"/>
            <w:tcBorders>
              <w:bottom w:val="single" w:sz="4" w:space="0" w:color="auto"/>
            </w:tcBorders>
            <w:shd w:val="clear" w:color="auto" w:fill="FFF2CC" w:themeFill="accent4" w:themeFillTint="33"/>
          </w:tcPr>
          <w:p w14:paraId="4E77C0D9" w14:textId="435AEE49" w:rsidR="00CC5CAB" w:rsidRPr="00483DC7" w:rsidRDefault="003F70B4" w:rsidP="00ED05B6">
            <w:pPr>
              <w:tabs>
                <w:tab w:val="left" w:pos="228"/>
                <w:tab w:val="left" w:pos="10620"/>
              </w:tabs>
              <w:jc w:val="center"/>
              <w:rPr>
                <w:rFonts w:ascii="Times New Roman" w:hAnsi="Times New Roman" w:cs="Times New Roman"/>
                <w:b/>
                <w:sz w:val="16"/>
                <w:szCs w:val="16"/>
                <w:lang w:val="ro-MD"/>
              </w:rPr>
            </w:pPr>
            <w:r w:rsidRPr="00483DC7">
              <w:rPr>
                <w:rFonts w:ascii="Times New Roman" w:hAnsi="Times New Roman" w:cs="Times New Roman"/>
                <w:b/>
                <w:sz w:val="16"/>
                <w:szCs w:val="16"/>
                <w:lang w:val="ro-MD"/>
              </w:rPr>
              <w:t>146</w:t>
            </w:r>
          </w:p>
        </w:tc>
        <w:tc>
          <w:tcPr>
            <w:tcW w:w="1134" w:type="dxa"/>
            <w:tcBorders>
              <w:bottom w:val="single" w:sz="4" w:space="0" w:color="auto"/>
            </w:tcBorders>
            <w:shd w:val="clear" w:color="auto" w:fill="FFF2CC" w:themeFill="accent4" w:themeFillTint="33"/>
            <w:vAlign w:val="center"/>
          </w:tcPr>
          <w:p w14:paraId="632E2AA8" w14:textId="7ACB45BA" w:rsidR="00CC5CAB" w:rsidRPr="00483DC7" w:rsidRDefault="003F70B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6.613.384,18</w:t>
            </w:r>
          </w:p>
        </w:tc>
        <w:tc>
          <w:tcPr>
            <w:tcW w:w="992" w:type="dxa"/>
            <w:tcBorders>
              <w:bottom w:val="single" w:sz="4" w:space="0" w:color="auto"/>
            </w:tcBorders>
            <w:shd w:val="clear" w:color="auto" w:fill="FFF2CC" w:themeFill="accent4" w:themeFillTint="33"/>
            <w:vAlign w:val="center"/>
          </w:tcPr>
          <w:p w14:paraId="7D276976" w14:textId="37421756" w:rsidR="00CC5CAB" w:rsidRPr="00483DC7" w:rsidRDefault="003F70B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521.378,88</w:t>
            </w:r>
          </w:p>
        </w:tc>
        <w:tc>
          <w:tcPr>
            <w:tcW w:w="1276" w:type="dxa"/>
            <w:tcBorders>
              <w:bottom w:val="single" w:sz="4" w:space="0" w:color="auto"/>
            </w:tcBorders>
            <w:shd w:val="clear" w:color="auto" w:fill="FFF2CC" w:themeFill="accent4" w:themeFillTint="33"/>
            <w:vAlign w:val="center"/>
          </w:tcPr>
          <w:p w14:paraId="6C05CC6D" w14:textId="73F6C7BD" w:rsidR="00CC5CAB" w:rsidRPr="00483DC7" w:rsidRDefault="003F70B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6.092.005,30</w:t>
            </w:r>
          </w:p>
        </w:tc>
        <w:tc>
          <w:tcPr>
            <w:tcW w:w="1134" w:type="dxa"/>
            <w:tcBorders>
              <w:bottom w:val="single" w:sz="4" w:space="0" w:color="auto"/>
            </w:tcBorders>
            <w:shd w:val="clear" w:color="auto" w:fill="FFF2CC" w:themeFill="accent4" w:themeFillTint="33"/>
            <w:vAlign w:val="center"/>
          </w:tcPr>
          <w:p w14:paraId="3580557A" w14:textId="6B007036" w:rsidR="00CC5CAB" w:rsidRPr="00483DC7" w:rsidRDefault="00980E3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7.964.015,70</w:t>
            </w:r>
          </w:p>
        </w:tc>
        <w:tc>
          <w:tcPr>
            <w:tcW w:w="992" w:type="dxa"/>
            <w:tcBorders>
              <w:bottom w:val="single" w:sz="4" w:space="0" w:color="auto"/>
            </w:tcBorders>
            <w:shd w:val="clear" w:color="auto" w:fill="FFF2CC" w:themeFill="accent4" w:themeFillTint="33"/>
            <w:vAlign w:val="center"/>
          </w:tcPr>
          <w:p w14:paraId="175C081B" w14:textId="51E84D07" w:rsidR="00CC5CAB" w:rsidRPr="00483DC7" w:rsidRDefault="00980E3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680.330,50</w:t>
            </w:r>
          </w:p>
        </w:tc>
        <w:tc>
          <w:tcPr>
            <w:tcW w:w="1276" w:type="dxa"/>
            <w:tcBorders>
              <w:bottom w:val="single" w:sz="4" w:space="0" w:color="auto"/>
            </w:tcBorders>
            <w:shd w:val="clear" w:color="auto" w:fill="FFF2CC" w:themeFill="accent4" w:themeFillTint="33"/>
            <w:vAlign w:val="center"/>
          </w:tcPr>
          <w:p w14:paraId="40AFC508" w14:textId="5F28216E" w:rsidR="00CC5CAB" w:rsidRPr="00483DC7" w:rsidRDefault="00980E3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7.283.685,20</w:t>
            </w:r>
          </w:p>
        </w:tc>
        <w:tc>
          <w:tcPr>
            <w:tcW w:w="1276" w:type="dxa"/>
            <w:tcBorders>
              <w:bottom w:val="single" w:sz="4" w:space="0" w:color="auto"/>
            </w:tcBorders>
            <w:shd w:val="clear" w:color="auto" w:fill="FFF2CC" w:themeFill="accent4" w:themeFillTint="33"/>
          </w:tcPr>
          <w:p w14:paraId="322699DA" w14:textId="249420A6" w:rsidR="00CC5CAB" w:rsidRPr="00483DC7" w:rsidRDefault="00980E34"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14.577.399,88</w:t>
            </w:r>
          </w:p>
        </w:tc>
        <w:tc>
          <w:tcPr>
            <w:tcW w:w="992" w:type="dxa"/>
            <w:tcBorders>
              <w:bottom w:val="single" w:sz="4" w:space="0" w:color="auto"/>
            </w:tcBorders>
            <w:shd w:val="clear" w:color="auto" w:fill="FFF2CC" w:themeFill="accent4" w:themeFillTint="33"/>
          </w:tcPr>
          <w:p w14:paraId="0DE900C9" w14:textId="21C4A328" w:rsidR="00CC5CAB" w:rsidRPr="00483DC7" w:rsidRDefault="00616280" w:rsidP="00ED05B6">
            <w:pPr>
              <w:tabs>
                <w:tab w:val="left" w:pos="228"/>
                <w:tab w:val="left" w:pos="10620"/>
              </w:tabs>
              <w:jc w:val="right"/>
              <w:rPr>
                <w:rFonts w:ascii="Times New Roman" w:hAnsi="Times New Roman" w:cs="Times New Roman"/>
                <w:b/>
                <w:sz w:val="16"/>
                <w:szCs w:val="16"/>
                <w:lang w:val="ro-MD"/>
              </w:rPr>
            </w:pPr>
            <w:r w:rsidRPr="00483DC7">
              <w:rPr>
                <w:rFonts w:ascii="Times New Roman" w:hAnsi="Times New Roman" w:cs="Times New Roman"/>
                <w:b/>
                <w:sz w:val="16"/>
                <w:szCs w:val="16"/>
                <w:lang w:val="ro-MD"/>
              </w:rPr>
              <w:t>100,00</w:t>
            </w:r>
          </w:p>
        </w:tc>
      </w:tr>
      <w:tr w:rsidR="00513AD7" w:rsidRPr="00483DC7" w14:paraId="05C577A0" w14:textId="77777777" w:rsidTr="00533781">
        <w:trPr>
          <w:trHeight w:val="162"/>
        </w:trPr>
        <w:tc>
          <w:tcPr>
            <w:tcW w:w="14601" w:type="dxa"/>
            <w:gridSpan w:val="11"/>
            <w:tcBorders>
              <w:left w:val="single" w:sz="4" w:space="0" w:color="FFFFFF" w:themeColor="background1"/>
              <w:bottom w:val="nil"/>
              <w:right w:val="single" w:sz="4" w:space="0" w:color="FFFFFF" w:themeColor="background1"/>
            </w:tcBorders>
            <w:shd w:val="clear" w:color="auto" w:fill="auto"/>
            <w:vAlign w:val="center"/>
          </w:tcPr>
          <w:p w14:paraId="567FF421" w14:textId="54166F0A" w:rsidR="00533781" w:rsidRPr="00483DC7" w:rsidRDefault="00513AD7" w:rsidP="00513AD7">
            <w:pPr>
              <w:tabs>
                <w:tab w:val="left" w:pos="228"/>
                <w:tab w:val="left" w:pos="10620"/>
              </w:tabs>
              <w:jc w:val="center"/>
              <w:rPr>
                <w:rFonts w:ascii="Times New Roman" w:hAnsi="Times New Roman" w:cs="Times New Roman"/>
                <w:i/>
                <w:sz w:val="18"/>
                <w:szCs w:val="18"/>
                <w:lang w:val="ro-MD"/>
              </w:rPr>
            </w:pPr>
            <w:r w:rsidRPr="00483DC7">
              <w:rPr>
                <w:rFonts w:ascii="Times New Roman" w:hAnsi="Times New Roman" w:cs="Times New Roman"/>
                <w:b/>
                <w:i/>
                <w:sz w:val="18"/>
                <w:szCs w:val="18"/>
                <w:lang w:val="ro-MD"/>
              </w:rPr>
              <w:t>Sursa:</w:t>
            </w:r>
            <w:r w:rsidRPr="00483DC7">
              <w:rPr>
                <w:rFonts w:ascii="Times New Roman" w:hAnsi="Times New Roman" w:cs="Times New Roman"/>
                <w:i/>
                <w:sz w:val="18"/>
                <w:szCs w:val="18"/>
                <w:lang w:val="ro-MD"/>
              </w:rPr>
              <w:t xml:space="preserve"> Rapoartele privind executarea bugetului pentru anii 2022-2023 (Forma F</w:t>
            </w:r>
            <w:r w:rsidR="00BB1201" w:rsidRPr="00483DC7">
              <w:rPr>
                <w:rFonts w:ascii="Times New Roman" w:hAnsi="Times New Roman" w:cs="Times New Roman"/>
                <w:i/>
                <w:sz w:val="18"/>
                <w:szCs w:val="18"/>
                <w:lang w:val="ro-MD"/>
              </w:rPr>
              <w:t>A</w:t>
            </w:r>
            <w:r w:rsidRPr="00483DC7">
              <w:rPr>
                <w:rFonts w:ascii="Times New Roman" w:hAnsi="Times New Roman" w:cs="Times New Roman"/>
                <w:i/>
                <w:sz w:val="18"/>
                <w:szCs w:val="18"/>
                <w:lang w:val="ro-MD"/>
              </w:rPr>
              <w:t>-010)</w:t>
            </w:r>
          </w:p>
          <w:p w14:paraId="4A9FDBEC" w14:textId="77777777" w:rsidR="00533781" w:rsidRPr="00483DC7" w:rsidRDefault="00533781" w:rsidP="00533781">
            <w:pPr>
              <w:rPr>
                <w:rFonts w:ascii="Times New Roman" w:hAnsi="Times New Roman" w:cs="Times New Roman"/>
                <w:sz w:val="16"/>
                <w:szCs w:val="16"/>
                <w:lang w:val="ro-MD"/>
              </w:rPr>
            </w:pPr>
          </w:p>
          <w:p w14:paraId="2505A6F2" w14:textId="77777777" w:rsidR="00513AD7" w:rsidRPr="00483DC7" w:rsidRDefault="00513AD7" w:rsidP="00533781">
            <w:pPr>
              <w:rPr>
                <w:rFonts w:ascii="Times New Roman" w:hAnsi="Times New Roman" w:cs="Times New Roman"/>
                <w:sz w:val="16"/>
                <w:szCs w:val="16"/>
                <w:lang w:val="ro-MD"/>
              </w:rPr>
            </w:pPr>
          </w:p>
        </w:tc>
      </w:tr>
    </w:tbl>
    <w:bookmarkStart w:id="31" w:name="_Toc185943227"/>
    <w:p w14:paraId="2FD7CE88" w14:textId="4CC8DE27" w:rsidR="00EF4E95" w:rsidRPr="00483DC7" w:rsidRDefault="00FE7E17" w:rsidP="00261456">
      <w:pPr>
        <w:pStyle w:val="Heading2"/>
        <w:rPr>
          <w:rFonts w:ascii="Times New Roman" w:hAnsi="Times New Roman" w:cs="Times New Roman"/>
          <w:b/>
          <w:sz w:val="24"/>
          <w:szCs w:val="24"/>
          <w:lang w:val="ro-MD"/>
        </w:rPr>
      </w:pPr>
      <w:r w:rsidRPr="00483DC7">
        <w:rPr>
          <w:rFonts w:ascii="Times New Roman" w:hAnsi="Times New Roman" w:cs="Times New Roman"/>
          <w:b/>
          <w:noProof/>
          <w:color w:val="auto"/>
          <w:sz w:val="24"/>
          <w:szCs w:val="24"/>
        </w:rPr>
        <w:lastRenderedPageBreak/>
        <mc:AlternateContent>
          <mc:Choice Requires="wpg">
            <w:drawing>
              <wp:anchor distT="0" distB="0" distL="114300" distR="114300" simplePos="0" relativeHeight="251670528" behindDoc="0" locked="0" layoutInCell="1" allowOverlap="1" wp14:anchorId="0B246DD9" wp14:editId="0F96D73B">
                <wp:simplePos x="0" y="0"/>
                <wp:positionH relativeFrom="column">
                  <wp:posOffset>23495</wp:posOffset>
                </wp:positionH>
                <wp:positionV relativeFrom="paragraph">
                  <wp:posOffset>360045</wp:posOffset>
                </wp:positionV>
                <wp:extent cx="9090660" cy="3810001"/>
                <wp:effectExtent l="0" t="0" r="15240" b="0"/>
                <wp:wrapTopAndBottom/>
                <wp:docPr id="55" name="Group 55"/>
                <wp:cNvGraphicFramePr/>
                <a:graphic xmlns:a="http://schemas.openxmlformats.org/drawingml/2006/main">
                  <a:graphicData uri="http://schemas.microsoft.com/office/word/2010/wordprocessingGroup">
                    <wpg:wgp>
                      <wpg:cNvGrpSpPr/>
                      <wpg:grpSpPr>
                        <a:xfrm>
                          <a:off x="0" y="0"/>
                          <a:ext cx="9090660" cy="3810001"/>
                          <a:chOff x="31713" y="0"/>
                          <a:chExt cx="5737860" cy="1980873"/>
                        </a:xfrm>
                      </wpg:grpSpPr>
                      <wpg:grpSp>
                        <wpg:cNvPr id="56" name="Group 56"/>
                        <wpg:cNvGrpSpPr/>
                        <wpg:grpSpPr>
                          <a:xfrm>
                            <a:off x="31713" y="0"/>
                            <a:ext cx="5737860" cy="1803004"/>
                            <a:chOff x="0" y="0"/>
                            <a:chExt cx="5737860" cy="1803004"/>
                          </a:xfrm>
                        </wpg:grpSpPr>
                        <wps:wsp>
                          <wps:cNvPr id="57" name="Straight Arrow Connector 57"/>
                          <wps:cNvCnPr/>
                          <wps:spPr>
                            <a:xfrm flipH="1" flipV="1">
                              <a:off x="1973614" y="802686"/>
                              <a:ext cx="129333"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8" name="Group 58"/>
                          <wpg:cNvGrpSpPr/>
                          <wpg:grpSpPr>
                            <a:xfrm>
                              <a:off x="0" y="0"/>
                              <a:ext cx="5737860" cy="1803004"/>
                              <a:chOff x="0" y="0"/>
                              <a:chExt cx="5737860" cy="1803004"/>
                            </a:xfrm>
                          </wpg:grpSpPr>
                          <wps:wsp>
                            <wps:cNvPr id="59" name="Straight Connector 59"/>
                            <wps:cNvCnPr/>
                            <wps:spPr>
                              <a:xfrm>
                                <a:off x="951638" y="1150241"/>
                                <a:ext cx="204094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0" name="Group 60"/>
                            <wpg:cNvGrpSpPr/>
                            <wpg:grpSpPr>
                              <a:xfrm>
                                <a:off x="0" y="0"/>
                                <a:ext cx="5737860" cy="1803004"/>
                                <a:chOff x="0" y="0"/>
                                <a:chExt cx="5737860" cy="1803004"/>
                              </a:xfrm>
                            </wpg:grpSpPr>
                            <wps:wsp>
                              <wps:cNvPr id="61" name="Straight Arrow Connector 61"/>
                              <wps:cNvCnPr/>
                              <wps:spPr>
                                <a:xfrm>
                                  <a:off x="2996714" y="437213"/>
                                  <a:ext cx="0" cy="108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2996715" y="1063201"/>
                                  <a:ext cx="0" cy="2320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V="1">
                                  <a:off x="3846859" y="422516"/>
                                  <a:ext cx="15964" cy="490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H="1">
                                  <a:off x="1675710" y="1042792"/>
                                  <a:ext cx="2129" cy="10729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5" name="Group 65"/>
                              <wpg:cNvGrpSpPr/>
                              <wpg:grpSpPr>
                                <a:xfrm>
                                  <a:off x="0" y="0"/>
                                  <a:ext cx="5737860" cy="1803004"/>
                                  <a:chOff x="0" y="0"/>
                                  <a:chExt cx="5737860" cy="1803004"/>
                                </a:xfrm>
                              </wpg:grpSpPr>
                              <wpg:grpSp>
                                <wpg:cNvPr id="66" name="Group 66"/>
                                <wpg:cNvGrpSpPr/>
                                <wpg:grpSpPr>
                                  <a:xfrm>
                                    <a:off x="0" y="0"/>
                                    <a:ext cx="5737860" cy="1803004"/>
                                    <a:chOff x="0" y="0"/>
                                    <a:chExt cx="5737860" cy="1803004"/>
                                  </a:xfrm>
                                </wpg:grpSpPr>
                                <wpg:grpSp>
                                  <wpg:cNvPr id="67" name="Group 67"/>
                                  <wpg:cNvGrpSpPr/>
                                  <wpg:grpSpPr>
                                    <a:xfrm>
                                      <a:off x="0" y="0"/>
                                      <a:ext cx="5737860" cy="1803004"/>
                                      <a:chOff x="40532" y="0"/>
                                      <a:chExt cx="4492171" cy="1803526"/>
                                    </a:xfrm>
                                    <a:noFill/>
                                  </wpg:grpSpPr>
                                  <wps:wsp>
                                    <wps:cNvPr id="68" name="Rectangle 68"/>
                                    <wps:cNvSpPr/>
                                    <wps:spPr>
                                      <a:xfrm>
                                        <a:off x="1426483" y="0"/>
                                        <a:ext cx="584162" cy="422694"/>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A025474" w14:textId="77777777" w:rsidR="00CB1EF8" w:rsidRPr="00EF4E95" w:rsidRDefault="00CB1EF8" w:rsidP="00EF4E95">
                                          <w:pPr>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 xml:space="preserve">Strategia Națională de Dezvoltare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075767" y="0"/>
                                        <a:ext cx="656488" cy="422694"/>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243795CB" w14:textId="77777777" w:rsidR="00CB1EF8" w:rsidRPr="00EF4E95" w:rsidRDefault="00CB1EF8" w:rsidP="00EF4E95">
                                          <w:pPr>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Programul de activitate al Guvernului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799245" y="0"/>
                                        <a:ext cx="530983" cy="422694"/>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7E40F82" w14:textId="77777777" w:rsidR="00CB1EF8" w:rsidRPr="00EF4E95" w:rsidRDefault="00CB1EF8" w:rsidP="00EF4E95">
                                          <w:pPr>
                                            <w:ind w:left="-142"/>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Angajamente internaționale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40532" y="538855"/>
                                        <a:ext cx="448310" cy="499745"/>
                                      </a:xfrm>
                                      <a:prstGeom prst="rect">
                                        <a:avLst/>
                                      </a:prstGeom>
                                      <a:grpFill/>
                                      <a:ln>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D28BB12"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Propuneri de politici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577970" y="538855"/>
                                        <a:ext cx="448310"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1F0DF676" w14:textId="77777777" w:rsidR="00CB1EF8" w:rsidRPr="0009108A" w:rsidRDefault="00CB1EF8" w:rsidP="00EF4E95">
                                          <w:pPr>
                                            <w:ind w:left="-142" w:right="-111"/>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Programe pe subdomenii de activitate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129957" y="543487"/>
                                        <a:ext cx="448310"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515412E" w14:textId="77777777" w:rsidR="00CB1EF8" w:rsidRPr="0009108A" w:rsidRDefault="00CB1EF8" w:rsidP="00EF4E95">
                                          <w:pPr>
                                            <w:ind w:left="-142" w:right="-125"/>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Strategii pe domenii de activitate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85305" y="543487"/>
                                        <a:ext cx="1517381"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D574016"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național de dezvoltare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3282475" y="543328"/>
                                        <a:ext cx="1249732"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26529032"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Cadrul bugetar pe termen mediu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40532" y="1290827"/>
                                        <a:ext cx="1537733"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6DE3EB3A"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anual al autorității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679520" y="1303781"/>
                                        <a:ext cx="1517703"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EDA7F9"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anual al Guvernului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3282810" y="1300514"/>
                                        <a:ext cx="1249893" cy="49974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D6B5913" w14:textId="77777777" w:rsidR="00CB1EF8" w:rsidRPr="0009108A" w:rsidRDefault="00CB1EF8" w:rsidP="00EF4E95">
                                          <w:pPr>
                                            <w:ind w:left="-142" w:right="-77"/>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Bugetul de stat, bugetul asigurărilor sociale de stat (BASS), fondurile asigurării obligatorii de asistență medicală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Straight Arrow Connector 79"/>
                                  <wps:cNvCnPr/>
                                  <wps:spPr>
                                    <a:xfrm>
                                      <a:off x="2516429" y="204826"/>
                                      <a:ext cx="821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3438144" y="212141"/>
                                      <a:ext cx="821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Elbow Connector 81"/>
                                  <wps:cNvCnPr/>
                                  <wps:spPr>
                                    <a:xfrm flipH="1">
                                      <a:off x="1521561" y="212141"/>
                                      <a:ext cx="248209" cy="333822"/>
                                    </a:xfrm>
                                    <a:prstGeom prst="bentConnector3">
                                      <a:avLst>
                                        <a:gd name="adj1" fmla="val 9975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flipH="1" flipV="1">
                                      <a:off x="1259098" y="788499"/>
                                      <a:ext cx="132427" cy="8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H="1">
                                      <a:off x="943661" y="1053389"/>
                                      <a:ext cx="7315" cy="236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4988966" y="1060704"/>
                                      <a:ext cx="0" cy="218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967789" y="1557045"/>
                                      <a:ext cx="13308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6" name="Group 86"/>
                                <wpg:cNvGrpSpPr/>
                                <wpg:grpSpPr>
                                  <a:xfrm>
                                    <a:off x="343417" y="1050940"/>
                                    <a:ext cx="607162" cy="95579"/>
                                    <a:chOff x="0" y="0"/>
                                    <a:chExt cx="607162" cy="95579"/>
                                  </a:xfrm>
                                </wpg:grpSpPr>
                                <wps:wsp>
                                  <wps:cNvPr id="87" name="Straight Connector 87"/>
                                  <wps:cNvCnPr/>
                                  <wps:spPr>
                                    <a:xfrm>
                                      <a:off x="0" y="0"/>
                                      <a:ext cx="0" cy="9509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8" name="Straight Connector 88"/>
                                  <wps:cNvCnPr/>
                                  <wps:spPr>
                                    <a:xfrm flipV="1">
                                      <a:off x="0" y="95097"/>
                                      <a:ext cx="607162" cy="482"/>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89" name="Group 89"/>
                                <wpg:cNvGrpSpPr/>
                                <wpg:grpSpPr>
                                  <a:xfrm>
                                    <a:off x="2101879" y="422031"/>
                                    <a:ext cx="1760944" cy="52976"/>
                                    <a:chOff x="0" y="0"/>
                                    <a:chExt cx="1760944" cy="52976"/>
                                  </a:xfrm>
                                </wpg:grpSpPr>
                                <wps:wsp>
                                  <wps:cNvPr id="90" name="Straight Connector 90"/>
                                  <wps:cNvCnPr/>
                                  <wps:spPr>
                                    <a:xfrm flipV="1">
                                      <a:off x="0" y="49462"/>
                                      <a:ext cx="1760944" cy="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0" y="0"/>
                                      <a:ext cx="0" cy="52976"/>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92" name="Text Box 92"/>
                        <wps:cNvSpPr txBox="1"/>
                        <wps:spPr>
                          <a:xfrm>
                            <a:off x="1494397" y="1846174"/>
                            <a:ext cx="3047687" cy="134699"/>
                          </a:xfrm>
                          <a:prstGeom prst="rect">
                            <a:avLst/>
                          </a:prstGeom>
                          <a:solidFill>
                            <a:schemeClr val="lt1"/>
                          </a:solidFill>
                          <a:ln w="6350">
                            <a:noFill/>
                          </a:ln>
                        </wps:spPr>
                        <wps:txbx>
                          <w:txbxContent>
                            <w:p w14:paraId="6EDD7F8A" w14:textId="072959E2" w:rsidR="00CB1EF8" w:rsidRPr="00C24C9C" w:rsidRDefault="00CB1EF8" w:rsidP="00EF4E95">
                              <w:pPr>
                                <w:rPr>
                                  <w:rFonts w:ascii="Times New Roman" w:hAnsi="Times New Roman" w:cs="Times New Roman"/>
                                  <w:i/>
                                  <w:sz w:val="20"/>
                                  <w:szCs w:val="20"/>
                                  <w:lang w:val="ro-MD"/>
                                </w:rPr>
                              </w:pPr>
                              <w:r w:rsidRPr="00C24C9C">
                                <w:rPr>
                                  <w:rFonts w:ascii="Times New Roman" w:hAnsi="Times New Roman" w:cs="Times New Roman"/>
                                  <w:b/>
                                  <w:i/>
                                  <w:sz w:val="20"/>
                                  <w:szCs w:val="20"/>
                                  <w:lang w:val="ro-MD"/>
                                </w:rPr>
                                <w:t>Sursa:</w:t>
                              </w:r>
                              <w:r w:rsidRPr="00C24C9C">
                                <w:rPr>
                                  <w:rFonts w:ascii="Times New Roman" w:hAnsi="Times New Roman" w:cs="Times New Roman"/>
                                  <w:i/>
                                  <w:sz w:val="20"/>
                                  <w:szCs w:val="20"/>
                                  <w:lang w:val="ro-MD"/>
                                </w:rPr>
                                <w:t xml:space="preserve"> Anexa n</w:t>
                              </w:r>
                              <w:r>
                                <w:rPr>
                                  <w:rFonts w:ascii="Times New Roman" w:hAnsi="Times New Roman" w:cs="Times New Roman"/>
                                  <w:i/>
                                  <w:sz w:val="20"/>
                                  <w:szCs w:val="20"/>
                                  <w:lang w:val="ro-MD"/>
                                </w:rPr>
                                <w:t>r</w:t>
                              </w:r>
                              <w:r w:rsidRPr="00C24C9C">
                                <w:rPr>
                                  <w:rFonts w:ascii="Times New Roman" w:hAnsi="Times New Roman" w:cs="Times New Roman"/>
                                  <w:i/>
                                  <w:sz w:val="20"/>
                                  <w:szCs w:val="20"/>
                                  <w:lang w:val="ro-MD"/>
                                </w:rPr>
                                <w:t>. 1 la Hotărârea Guvernului nr. 386/2020</w:t>
                              </w:r>
                              <w:r>
                                <w:rPr>
                                  <w:rFonts w:ascii="Times New Roman" w:hAnsi="Times New Roman" w:cs="Times New Roman"/>
                                  <w:i/>
                                  <w:sz w:val="20"/>
                                  <w:szCs w:val="20"/>
                                  <w:lang w:val="ro-MD"/>
                                </w:rPr>
                                <w:t xml:space="preserve"> (în vigoare până pe 04.11.2024)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246DD9" id="Group 55" o:spid="_x0000_s1028" style="position:absolute;margin-left:1.85pt;margin-top:28.35pt;width:715.8pt;height:300pt;z-index:251670528;mso-height-relative:margin" coordorigin="317" coordsize="57378,1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UAsAAKxiAAAOAAAAZHJzL2Uyb0RvYy54bWzsXVlv20gSfl9g/gOh94nZvCnEGXidYxcI&#10;ZoJxdueZpqhjQZFcko7l/fX7VV88TEqyE2s8Al8cUWJL3c366vi6qvL2l902Nb4lZbXJs8sZe2PO&#10;jCSL88UmW13O/vX148/BzKjqKFtEaZ4ll7OHpJr98u6nv729L+aJla/zdJGUBr4kq+b3xeVsXdfF&#10;/OKiitfJNqre5EWS4cNlXm6jGpfl6mJRRvf49m16YZmmd3Gfl4uizOOkqvDue/Hh7B3//uUyievf&#10;lssqqY30coa51fxvyf/e0t+Ld2+j+aqMivUmltOInjGLbbTJ8KP6q95HdWTclZtHX7XdxGVe5cv6&#10;TZxvL/LlchMnfA1YDTN7q/lU5ncFX8tqfr8q9DZha3v79OyvjX/99qU0NovLmevOjCza4hnxnzVw&#10;jc25L1Zz3POpLG6KL6V8YyWuaL27Zbmlf7ESY8e39UFva7KrjRhvhmZoeh52P8ZndsBM02Ri4+M1&#10;ng6Ns5nP7JnRjI3XH+Ro17f9QI1mYWAGvk2jL9SPX9Ac9ZT0hZ67Wp/XW5/3jPU9mqdaY3eWgWmb&#10;ptNbIzbg8PqakaPrA1CqRhaq75OFm3VUJFzEKnrOaq98tVc3dRltVuvauCrL/N64zrMMmMpLw/XF&#10;9vFh15mUjWpeQUyUYBjLdFP8A2phxl/9m161hIWFvu0xh29LYFpewJ9INFd7yqzQtiEVJDa+zbg8&#10;6l2J5kVZ1Z+SfGvQi8tZJWeqpyh+K/r2uaqFuKgBNIU0o791tEk/ZAujfigg93W5ibJVmkjpolsg&#10;W2pJ/FX9kCZi+O/JErCB6Iqf4QoruU5L41sEVRPFcZLVXMox4zTD3TRsuUlTPdDke7F3oLyfhiZc&#10;mT1lsB7BfznPaj14u8nycujX652a8lLcr3ZArJu24DZfPPCHzbcGkihwxvH3CHJQ/h2VEjwDch3Y&#10;KNE4M7iFap803LQUG254GGj0hKUGDl3m2dh3YIYx17QcqWrVzlmmY4aOVMbc/o1DKt1kpBui+SCI&#10;JmyIHXgeNsiitbGB6x9kbs8LGx6Mh9gnjY2+KcItfOv2maIWQqww9Hxpdhzbt+B4YHhjdiQ2GBwN&#10;8VDGATLZnJ6lO6HNOYEb5FmHZc96huzB0yb1bHo2nP5B4bPwicOt5SR8ws06wls6M+GD59tTfI1T&#10;4HGdRf4YnPZ93nff57YDxwvgUpAAOpYFZ6Erf8wNPXjk5HI7IVwF+nRcBCcHYdv4/M91nk+hyPBI&#10;x2WJB6pHyBKP5FqGlHm+6zPhnzPTsfyQK8PGklqI4IQsMdO3Qh4xTsL0Z0RiXo/cwfVfz9uULE8/&#10;yvR6xA6uz2dtmogRpJwnWZfvJ+WOiBIc07XhAcEUSJ60IeUcJ7RA2Ulwg7RyLb7rLXRn+UewHWQ+&#10;NCVHzBDpmRfnrzxNPPwOtoqTOgbe42LBTaYmMxW7o8hEHUczx/KcoMNJqhDaDRxGriE3kpblhVyB&#10;tpauiCbJTJWYw3gYTZxx0WyVmhDtUzVAN1lDvI2im0g5V+tokQgWygXTqiy45pm4PR9mpI6gsk7N&#10;SKWaRBtlpOrd7Y4z2NoVFxyVUeaC7q+K+OMGHOHnqKq/RCX4fdgsnFnUv+HPMs3vL2e5fDUz1nn5&#10;v6H36X5Qrfh0ZtzjvACE43/vojKZGek/M5CwIXOIVan5heP6Fi7K9ie37U+yu+11Dp4QCMLs+Eu6&#10;v07Vy2WZb//A0cYV/So+irIYv305i+tSXVzX4hwDhyNxcnXFb8OhQhHVn7ObIlbMJAnj190fUVlI&#10;cawhx7/mivh9RO6Ie0mSsvzqrs6XG06fkjyKfZWcoKT+ToFmTY+10NxmxQ6j2TLhqkB5tpSZQrPn&#10;AufQFxOaoaY0Rfwy4dZT0KwjnAnNZ4VmH9pMxCINmvHeU2wzIo3QcgSLIl0ThWbXNkOy2hOaXxea&#10;dYw5ofm80Kzp+Raa23z8YdvchBmuHQQi7aDhEBw44cQxCEYq9AF7iikaf/3ZzrY6BK7ydLMgB5x7&#10;z5R40nA6T3asO19GU3sfVWvhjVcPFV3I6R95ujy5+/1DNu3uSwpDuaWTu88jw7++u+/rU5eWStGx&#10;HfjuwyrF9f2Q/AxQF6fVKUeciU+IHkW0JO4mRJ9ZAI+Evccuv47vjkI0w1FCiJwzDmnHdgJOhJ7C&#10;TZggPdfcoXBknhLF6yzBye8/L79fnyi2jLQO8o6DNA6ibVNE8e4ApJnLfGQLv4TrP2H6ezCtD1Im&#10;TJ8XpvUhcQvTOso6CtO2FViOrzGNSwp3GzPNLAdJ3+rsLPyR4fyE6e/BtD5OmTB9XpjWyREtTOs4&#10;6yhMN/wcfHAzsHqeN3Nt31dlGs4EaVkW8ucfoIE1lYcqE6bPC9M6KaiFaR1oHYVppO6FLqUogCFj&#10;tokKu14eMjnfvqkO0iZUvx5U68OVCdXnheqBnDVfh1pHoZq8b5TXKlSbLqpcHrnfQTihWlcKvGRt&#10;wVNoMqbPNyZUnwrVCBhbGcUnyGPzdR7bzVhVNW6RPhsAP1LXQfG0LPak+g2HcuxhxqlgSCThNuF2&#10;YMGOCwJN5YGqgv3esXk1VU+rs348AKQXaBVB2y1zT4W2+OHV0ycQvQBGoVcA0q+ixC1PET3bATfr&#10;iOJ91Hmwfp3xJHrIpeTU12su3D+F6OkMoQ/pbaeFhIg5nlN45EKvUWEwqb0B2bOgCU1ZeYQOEoHF&#10;ret4ztAtejXo2jq7SdWnx7daSOBEi//gF5fbFPnj6PFgICZyuXuG7+X18VxtKLVKQ6ceE0O1Cq+4&#10;TC7QmSejBhq3HNSSh9qeWC464ogWDX4QgDLrOem2hVo6YbWRD6dkbDLcaLbyMqzaaxZJnToxLpLt&#10;TIoRn7ERSVJMqlWIY3tSizKUetlBTxB5zx2eeGnZnhVy4mFciU4e5Fn3Qgj0gf+4ILbP/0cEsSV+&#10;ThgEIRVvEgdpeqavOmapXH74rJT1a7HAd/rVhcrOTs2fhltOnVn4ok+mx4WvfVB9WPgYesD4UHhc&#10;+FwXssfHN6Ezs21TFZK8QOy8TqLFcOexqStZ/xz7eea5S++0mB5eOy0b3aHlnHTvRX21aEFHxBD4&#10;l09HNj1EKOwwkZoIO8q7a8FHbEQJqo2peuEQsibNrG5+KAhbLmTRvKmxHhym7W+zvJNVVSPnsk8i&#10;6KjJEAmZ+4O5lvLvrLmn8EPsIT/O0ot91Oxvf+MRCr0MVPXiiAuKI6Zi3WUa1Xi5LRYo3M1WqKFN&#10;V2hYGqOclmbVKdvopTt2eaHOnWSFmgKPhazuiObo25ktuAx0cZ6hByrKhy9n22SBwuEEM6BX/M5u&#10;L8LxO7EpR9aOKGe5XN1SY0JRLYzeodh71fuUf5kkKmRpd5cS3z/2cDX4/vFnZqX0CY62Ui18tI9y&#10;RuzTYJdMgRSNiWG1AsKDpGgCzAC0JsBI0RjtoCDOnEh+SH/zwv7GvOzp70n+k2CVpfWUpxdPsp4W&#10;M+HgC08MHalMu5+JgC58IRHNFAu46CLEQwEylLJ3cMeUNOaTDY7TCGkWeDL7GWKmPRK+0Q/4EA9g&#10;v/3cox+c0IGLwQ2JsqadDRANw/Tqn2hQuVxUvLMvzXCoL8kRvUOGm44oKzVYdyl02mEzs2fwedkY&#10;sDB7ZEjnhhx1etgBjpIavNkB2iQyL9ivq1FCXPfqIOWY96Wq1k3hX6QRODq6SXH7SgLy93xniCZv&#10;UlFRKaZR7/A+tZuRCkwoiqZCW9KNDDrKhmPPQ260IWR+LzvFNh3foyCDBJDZjieY8XEJLA80Vur4&#10;6j2vvsnO6NwlAgfPdoVaappYDXrduhZZ9JClTTlN/oYID07aeQjhk2hCdP0K+g5xgOC/ROAur/zv&#10;G+j/XGhfc0g1/8nEu/8DAAD//wMAUEsDBBQABgAIAAAAIQATZ9N33wAAAAkBAAAPAAAAZHJzL2Rv&#10;d25yZXYueG1sTI9Ba4NAEIXvhf6HZQq9Nau12mAdQwhtT6HQpFBy2+hEJe6suBs1/77rqTkNM+/x&#10;5nvZatKtGKi3jWGEcBGAIC5M2XCF8LP/eFqCsE5xqVrDhHAlC6v8/i5TaWlG/qZh5yrhQ9imCqF2&#10;rkultEVNWtmF6Yi9djK9Vs6vfSXLXo0+XLfyOQgSqVXD/kOtOtrUVJx3F43wOapxHYXvw/Z82lwP&#10;+/jrdxsS4uPDtH4D4Why/2aY8T065J7paC5cWtEiRK/eiBAnfs7ySxRHII4IyXySeSZvG+R/AAAA&#10;//8DAFBLAQItABQABgAIAAAAIQC2gziS/gAAAOEBAAATAAAAAAAAAAAAAAAAAAAAAABbQ29udGVu&#10;dF9UeXBlc10ueG1sUEsBAi0AFAAGAAgAAAAhADj9If/WAAAAlAEAAAsAAAAAAAAAAAAAAAAALwEA&#10;AF9yZWxzLy5yZWxzUEsBAi0AFAAGAAgAAAAhAD6b8BpQCwAArGIAAA4AAAAAAAAAAAAAAAAALgIA&#10;AGRycy9lMm9Eb2MueG1sUEsBAi0AFAAGAAgAAAAhABNn03ffAAAACQEAAA8AAAAAAAAAAAAAAAAA&#10;qg0AAGRycy9kb3ducmV2LnhtbFBLBQYAAAAABAAEAPMAAAC2DgAAAAA=&#10;">
                <v:group id="Group 56" o:spid="_x0000_s1029" style="position:absolute;left:317;width:57378;height:18030" coordsize="57378,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7" o:spid="_x0000_s1030" type="#_x0000_t32" style="position:absolute;left:19736;top:8026;width:1293;height: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WewwAAANsAAAAPAAAAZHJzL2Rvd25yZXYueG1sRI/disIw&#10;FITvBd8hHGHvNHVZf6hGcYWl3oi76gMcmmNbbE5Kkmp9+40geDnMzDfMct2ZWtzI+cqygvEoAUGc&#10;W11xoeB8+hnOQfiArLG2TAoe5GG96veWmGp75z+6HUMhIoR9igrKEJpUSp+XZNCPbEMcvYt1BkOU&#10;rpDa4T3CTS0/k2QqDVYcF0psaFtSfj22RkGbTc/N98SdDr/Z1/6wz7bz1j2U+hh0mwWIQF14h1/t&#10;nVYwmcHzS/wBcvUPAAD//wMAUEsBAi0AFAAGAAgAAAAhANvh9svuAAAAhQEAABMAAAAAAAAAAAAA&#10;AAAAAAAAAFtDb250ZW50X1R5cGVzXS54bWxQSwECLQAUAAYACAAAACEAWvQsW78AAAAVAQAACwAA&#10;AAAAAAAAAAAAAAAfAQAAX3JlbHMvLnJlbHNQSwECLQAUAAYACAAAACEA4s71nsMAAADbAAAADwAA&#10;AAAAAAAAAAAAAAAHAgAAZHJzL2Rvd25yZXYueG1sUEsFBgAAAAADAAMAtwAAAPcCAAAAAA==&#10;" strokecolor="#5b9bd5 [3204]" strokeweight=".5pt">
                    <v:stroke endarrow="block" joinstyle="miter"/>
                  </v:shape>
                  <v:group id="Group 58" o:spid="_x0000_s1031" style="position:absolute;width:57378;height:18030" coordsize="57378,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9" o:spid="_x0000_s1032" style="position:absolute;visibility:visible;mso-wrap-style:square" from="9516,11502" to="29925,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BoxAAAANsAAAAPAAAAZHJzL2Rvd25yZXYueG1sRI9La8Mw&#10;EITvhf4HsYXeGrkteblWQgkk5FTI65DbYq0tt9bKsRTb/fdVIZDjMDPfMNlysLXoqPWVYwWvowQE&#10;ce50xaWC42H9MgPhA7LG2jEp+CUPy8XjQ4apdj3vqNuHUkQI+xQVmBCaVEqfG7LoR64hjl7hWosh&#10;yraUusU+wm0t35JkIi1WHBcMNrQylP/sr1bBBfM12fNp0yW96d4nRfM1/T4r9fw0fH6ACDSEe/jW&#10;3moF4zn8f4k/QC7+AAAA//8DAFBLAQItABQABgAIAAAAIQDb4fbL7gAAAIUBAAATAAAAAAAAAAAA&#10;AAAAAAAAAABbQ29udGVudF9UeXBlc10ueG1sUEsBAi0AFAAGAAgAAAAhAFr0LFu/AAAAFQEAAAsA&#10;AAAAAAAAAAAAAAAAHwEAAF9yZWxzLy5yZWxzUEsBAi0AFAAGAAgAAAAhAFQNkGjEAAAA2wAAAA8A&#10;AAAAAAAAAAAAAAAABwIAAGRycy9kb3ducmV2LnhtbFBLBQYAAAAAAwADALcAAAD4AgAAAAA=&#10;" strokecolor="#5b9bd5 [3204]" strokeweight=".5pt">
                      <v:stroke joinstyle="miter"/>
                    </v:line>
                    <v:group id="Group 60" o:spid="_x0000_s1033" style="position:absolute;width:57378;height:18030" coordsize="57378,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Straight Arrow Connector 61" o:spid="_x0000_s1034" type="#_x0000_t32" style="position:absolute;left:29967;top:4372;width:0;height:1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5b9bd5 [3204]" strokeweight=".5pt">
                        <v:stroke endarrow="block" joinstyle="miter"/>
                      </v:shape>
                      <v:shape id="Straight Arrow Connector 62" o:spid="_x0000_s1035" type="#_x0000_t32" style="position:absolute;left:29967;top:10632;width:0;height:2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5b9bd5 [3204]" strokeweight=".5pt">
                        <v:stroke endarrow="block" joinstyle="miter"/>
                      </v:shape>
                      <v:line id="Straight Connector 63" o:spid="_x0000_s1036" style="position:absolute;flip:y;visibility:visible;mso-wrap-style:square" from="38468,4225" to="38628,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4xQAAANsAAAAPAAAAZHJzL2Rvd25yZXYueG1sRI9Ba8JA&#10;FITvQv/D8gq96aYWg6ZZpRQFoShUzcHba/Y1SZt9G7LbJP57VxB6HGbmGyZdDaYWHbWusqzgeRKB&#10;IM6trrhQcDpuxnMQziNrrC2Tggs5WC0fRikm2vb8Sd3BFyJA2CWooPS+SaR0eUkG3cQ2xMH7tq1B&#10;H2RbSN1iH+CmltMoiqXBisNCiQ29l5T/Hv6Mgo3effF84fbnzFbxx/anydazmVJPj8PbKwhPg/8P&#10;39tbrSB+gduX8APk8goAAP//AwBQSwECLQAUAAYACAAAACEA2+H2y+4AAACFAQAAEwAAAAAAAAAA&#10;AAAAAAAAAAAAW0NvbnRlbnRfVHlwZXNdLnhtbFBLAQItABQABgAIAAAAIQBa9CxbvwAAABUBAAAL&#10;AAAAAAAAAAAAAAAAAB8BAABfcmVscy8ucmVsc1BLAQItABQABgAIAAAAIQCMW/E4xQAAANsAAAAP&#10;AAAAAAAAAAAAAAAAAAcCAABkcnMvZG93bnJldi54bWxQSwUGAAAAAAMAAwC3AAAA+QIAAAAA&#10;" strokecolor="#5b9bd5 [3204]" strokeweight=".5pt">
                        <v:stroke joinstyle="miter"/>
                      </v:line>
                      <v:line id="Straight Connector 64" o:spid="_x0000_s1037" style="position:absolute;flip:x;visibility:visible;mso-wrap-style:square" from="16757,10427" to="16778,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lMxQAAANsAAAAPAAAAZHJzL2Rvd25yZXYueG1sRI9Ba8JA&#10;FITvQv/D8gq96aZSg6ZZpRQFoShUzcHba/Y1SZt9G7LbJP57VxB6HGbmGyZdDaYWHbWusqzgeRKB&#10;IM6trrhQcDpuxnMQziNrrC2Tggs5WC0fRikm2vb8Sd3BFyJA2CWooPS+SaR0eUkG3cQ2xMH7tq1B&#10;H2RbSN1iH+CmltMoiqXBisNCiQ29l5T/Hv6Mgo3effF84fbnzFbxx/anydazmVJPj8PbKwhPg/8P&#10;39tbrSB+gduX8APk8goAAP//AwBQSwECLQAUAAYACAAAACEA2+H2y+4AAACFAQAAEwAAAAAAAAAA&#10;AAAAAAAAAAAAW0NvbnRlbnRfVHlwZXNdLnhtbFBLAQItABQABgAIAAAAIQBa9CxbvwAAABUBAAAL&#10;AAAAAAAAAAAAAAAAAB8BAABfcmVscy8ucmVsc1BLAQItABQABgAIAAAAIQADsmlMxQAAANsAAAAP&#10;AAAAAAAAAAAAAAAAAAcCAABkcnMvZG93bnJldi54bWxQSwUGAAAAAAMAAwC3AAAA+QIAAAAA&#10;" strokecolor="#5b9bd5 [3204]" strokeweight=".5pt">
                        <v:stroke joinstyle="miter"/>
                      </v:line>
                      <v:group id="Group 65" o:spid="_x0000_s1038" style="position:absolute;width:57378;height:18030" coordsize="57378,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39" style="position:absolute;width:57378;height:18030" coordsize="57378,1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40" style="position:absolute;width:57378;height:18030" coordorigin="405" coordsize="44921,1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8" o:spid="_x0000_s1041" style="position:absolute;left:14264;width:5842;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w4wAAAANsAAAAPAAAAZHJzL2Rvd25yZXYueG1sRE9Ni8Iw&#10;EL0v+B/CCHtbUxcsUo1SBUFcEKwiehuasS02k9pktf57cxA8Pt73dN6ZWtypdZVlBcNBBII4t7ri&#10;QsFhv/oZg3AeWWNtmRQ8ycF81vuaYqLtg3d0z3whQgi7BBWU3jeJlC4vyaAb2IY4cBfbGvQBtoXU&#10;LT5CuKnlbxTF0mDFoaHEhpYl5dfs3yg47kYXWizig9ye01s6zNbd3+ak1He/SycgPHX+I36711pB&#10;HMaGL+EHyNkLAAD//wMAUEsBAi0AFAAGAAgAAAAhANvh9svuAAAAhQEAABMAAAAAAAAAAAAAAAAA&#10;AAAAAFtDb250ZW50X1R5cGVzXS54bWxQSwECLQAUAAYACAAAACEAWvQsW78AAAAVAQAACwAAAAAA&#10;AAAAAAAAAAAfAQAAX3JlbHMvLnJlbHNQSwECLQAUAAYACAAAACEAs7asOMAAAADbAAAADwAAAAAA&#10;AAAAAAAAAAAHAgAAZHJzL2Rvd25yZXYueG1sUEsFBgAAAAADAAMAtwAAAPQCAAAAAA==&#10;" filled="f" strokecolor="#1f4d78 [1604]" strokeweight="1pt">
                              <v:textbox>
                                <w:txbxContent>
                                  <w:p w14:paraId="7A025474" w14:textId="77777777" w:rsidR="00CB1EF8" w:rsidRPr="00EF4E95" w:rsidRDefault="00CB1EF8" w:rsidP="00EF4E95">
                                    <w:pPr>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 xml:space="preserve">Strategia Națională de Dezvoltare </w:t>
                                    </w:r>
                                  </w:p>
                                </w:txbxContent>
                              </v:textbox>
                            </v:rect>
                            <v:rect id="Rectangle 69" o:spid="_x0000_s1042" style="position:absolute;left:20757;width:6565;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jxgAAANsAAAAPAAAAZHJzL2Rvd25yZXYueG1sRI/dasJA&#10;FITvC32H5RR6VzcWDDa6kVgQRKFgGkTvDtmTH5o9m2a3mr59tyB4OczMN8xyNZpOXGhwrWUF00kE&#10;gri0uuVaQfG5eZmDcB5ZY2eZFPySg1X6+LDERNsrH+iS+1oECLsEFTTe94mUrmzIoJvYnjh4lR0M&#10;+iCHWuoBrwFuOvkaRbE02HJYaLCn94bKr/zHKDgeZhWt13EhP87ZdzbNt+N+d1Lq+WnMFiA8jf4e&#10;vrW3WkH8Bv9fwg+Q6R8AAAD//wMAUEsBAi0AFAAGAAgAAAAhANvh9svuAAAAhQEAABMAAAAAAAAA&#10;AAAAAAAAAAAAAFtDb250ZW50X1R5cGVzXS54bWxQSwECLQAUAAYACAAAACEAWvQsW78AAAAVAQAA&#10;CwAAAAAAAAAAAAAAAAAfAQAAX3JlbHMvLnJlbHNQSwECLQAUAAYACAAAACEA3PoJo8YAAADbAAAA&#10;DwAAAAAAAAAAAAAAAAAHAgAAZHJzL2Rvd25yZXYueG1sUEsFBgAAAAADAAMAtwAAAPoCAAAAAA==&#10;" filled="f" strokecolor="#1f4d78 [1604]" strokeweight="1pt">
                              <v:textbox>
                                <w:txbxContent>
                                  <w:p w14:paraId="243795CB" w14:textId="77777777" w:rsidR="00CB1EF8" w:rsidRPr="00EF4E95" w:rsidRDefault="00CB1EF8" w:rsidP="00EF4E95">
                                    <w:pPr>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Programul de activitate al Guvernului</w:t>
                                    </w:r>
                                  </w:p>
                                </w:txbxContent>
                              </v:textbox>
                            </v:rect>
                            <v:rect id="Rectangle 70" o:spid="_x0000_s1043" style="position:absolute;left:27992;width:5310;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bjwQAAANsAAAAPAAAAZHJzL2Rvd25yZXYueG1sRE/LisIw&#10;FN0L/kO4gjtNFXzQMUoVBHFAsIrM7C7NtS3T3NQmaufvzUJweTjvxao1lXhQ40rLCkbDCARxZnXJ&#10;uYLzaTuYg3AeWWNlmRT8k4PVsttZYKztk4/0SH0uQgi7GBUU3texlC4ryKAb2po4cFfbGPQBNrnU&#10;DT5DuKnkOIqm0mDJoaHAmjYFZX/p3Si4HCdXWq+nZ3n4TW7JKN213/sfpfq9NvkC4an1H/HbvdMK&#10;ZmF9+BJ+gFy+AAAA//8DAFBLAQItABQABgAIAAAAIQDb4fbL7gAAAIUBAAATAAAAAAAAAAAAAAAA&#10;AAAAAABbQ29udGVudF9UeXBlc10ueG1sUEsBAi0AFAAGAAgAAAAhAFr0LFu/AAAAFQEAAAsAAAAA&#10;AAAAAAAAAAAAHwEAAF9yZWxzLy5yZWxzUEsBAi0AFAAGAAgAAAAhAMgZNuPBAAAA2wAAAA8AAAAA&#10;AAAAAAAAAAAABwIAAGRycy9kb3ducmV2LnhtbFBLBQYAAAAAAwADALcAAAD1AgAAAAA=&#10;" filled="f" strokecolor="#1f4d78 [1604]" strokeweight="1pt">
                              <v:textbox>
                                <w:txbxContent>
                                  <w:p w14:paraId="07E40F82" w14:textId="77777777" w:rsidR="00CB1EF8" w:rsidRPr="00EF4E95" w:rsidRDefault="00CB1EF8" w:rsidP="00EF4E95">
                                    <w:pPr>
                                      <w:ind w:left="-142"/>
                                      <w:jc w:val="center"/>
                                      <w:rPr>
                                        <w:rFonts w:ascii="Times New Roman" w:hAnsi="Times New Roman" w:cs="Times New Roman"/>
                                        <w:color w:val="000000" w:themeColor="text1"/>
                                        <w:sz w:val="20"/>
                                        <w:szCs w:val="20"/>
                                        <w:lang w:val="ro-MD"/>
                                      </w:rPr>
                                    </w:pPr>
                                    <w:r w:rsidRPr="00EF4E95">
                                      <w:rPr>
                                        <w:rFonts w:ascii="Times New Roman" w:hAnsi="Times New Roman" w:cs="Times New Roman"/>
                                        <w:color w:val="000000" w:themeColor="text1"/>
                                        <w:sz w:val="20"/>
                                        <w:szCs w:val="20"/>
                                        <w:lang w:val="ro-MD"/>
                                      </w:rPr>
                                      <w:t>Angajamente internaționale</w:t>
                                    </w:r>
                                  </w:p>
                                </w:txbxContent>
                              </v:textbox>
                            </v:rect>
                            <v:rect id="Rectangle 71" o:spid="_x0000_s1044" style="position:absolute;left:405;top:5388;width:4483;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SowgAAANsAAAAPAAAAZHJzL2Rvd25yZXYueG1sRI9PawIx&#10;FMTvgt8hPKE3zSq0ymoUEYTSU9VSPD43b//o5iUkUbff3hQEj8PM/IZZrDrTihv50FhWMB5lIIgL&#10;qxuuFPwctsMZiBCRNbaWScEfBVgt+70F5treeUe3faxEgnDIUUEdo8ulDEVNBsPIOuLkldYbjEn6&#10;SmqP9wQ3rZxk2Yc02HBaqNHRpqbisr8aBYdf157d5fo9bY7vX6Up/aYIJ6XeBt16DiJSF1/hZ/tT&#10;K5iO4f9L+gFy+QAAAP//AwBQSwECLQAUAAYACAAAACEA2+H2y+4AAACFAQAAEwAAAAAAAAAAAAAA&#10;AAAAAAAAW0NvbnRlbnRfVHlwZXNdLnhtbFBLAQItABQABgAIAAAAIQBa9CxbvwAAABUBAAALAAAA&#10;AAAAAAAAAAAAAB8BAABfcmVscy8ucmVsc1BLAQItABQABgAIAAAAIQDfzxSowgAAANsAAAAPAAAA&#10;AAAAAAAAAAAAAAcCAABkcnMvZG93bnJldi54bWxQSwUGAAAAAAMAAwC3AAAA9gIAAAAA&#10;" filled="f" strokecolor="#1f4d78 [1604]" strokeweight="1pt">
                              <v:stroke dashstyle="3 1"/>
                              <v:textbox>
                                <w:txbxContent>
                                  <w:p w14:paraId="7D28BB12"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Propuneri de politici publice</w:t>
                                    </w:r>
                                  </w:p>
                                </w:txbxContent>
                              </v:textbox>
                            </v:rect>
                            <v:rect id="Rectangle 72" o:spid="_x0000_s1045" style="position:absolute;left:5779;top:5388;width:4483;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0PxAAAANsAAAAPAAAAZHJzL2Rvd25yZXYueG1sRI9Bi8Iw&#10;FITvC/6H8IS9ranCulKNUoUFURCsInp7NM+22LzUJqv13xthweMwM98wk1lrKnGjxpWWFfR7EQji&#10;zOqScwX73e/XCITzyBory6TgQQ5m087HBGNt77ylW+pzESDsYlRQeF/HUrqsIIOuZ2vi4J1tY9AH&#10;2eRSN3gPcFPJQRQNpcGSw0KBNS0Kyi7pn1Fw2H6faT4f7uXmlFyTfrps16ujUp/dNhmD8NT6d/i/&#10;vdQKfgbw+hJ+gJw+AQAA//8DAFBLAQItABQABgAIAAAAIQDb4fbL7gAAAIUBAAATAAAAAAAAAAAA&#10;AAAAAAAAAABbQ29udGVudF9UeXBlc10ueG1sUEsBAi0AFAAGAAgAAAAhAFr0LFu/AAAAFQEAAAsA&#10;AAAAAAAAAAAAAAAAHwEAAF9yZWxzLy5yZWxzUEsBAi0AFAAGAAgAAAAhAFeHDQ/EAAAA2wAAAA8A&#10;AAAAAAAAAAAAAAAABwIAAGRycy9kb3ducmV2LnhtbFBLBQYAAAAAAwADALcAAAD4AgAAAAA=&#10;" filled="f" strokecolor="#1f4d78 [1604]" strokeweight="1pt">
                              <v:textbox>
                                <w:txbxContent>
                                  <w:p w14:paraId="1F0DF676" w14:textId="77777777" w:rsidR="00CB1EF8" w:rsidRPr="0009108A" w:rsidRDefault="00CB1EF8" w:rsidP="00EF4E95">
                                    <w:pPr>
                                      <w:ind w:left="-142" w:right="-111"/>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Programe pe subdomenii de activitate</w:t>
                                    </w:r>
                                  </w:p>
                                </w:txbxContent>
                              </v:textbox>
                            </v:rect>
                            <v:rect id="Rectangle 73" o:spid="_x0000_s1046" style="position:absolute;left:11299;top:5434;width:4483;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6iUxgAAANsAAAAPAAAAZHJzL2Rvd25yZXYueG1sRI/dasJA&#10;FITvC77DcoTeNRsttSW6kVgoSAXBVIreHbInP5g9G7NbTd/eFQq9HGbmG2axHEwrLtS7xrKCSRSD&#10;IC6sbrhSsP/6eHoD4TyyxtYyKfglB8t09LDARNsr7+iS+0oECLsEFdTed4mUrqjJoItsRxy80vYG&#10;fZB9JXWP1wA3rZzG8UwabDgs1NjRe03FKf8xCr53LyWtVrO93B6zczbJ18Pm86DU43jI5iA8Df4/&#10;/NdeawWvz3D/En6ATG8AAAD//wMAUEsBAi0AFAAGAAgAAAAhANvh9svuAAAAhQEAABMAAAAAAAAA&#10;AAAAAAAAAAAAAFtDb250ZW50X1R5cGVzXS54bWxQSwECLQAUAAYACAAAACEAWvQsW78AAAAVAQAA&#10;CwAAAAAAAAAAAAAAAAAfAQAAX3JlbHMvLnJlbHNQSwECLQAUAAYACAAAACEAOMuolMYAAADbAAAA&#10;DwAAAAAAAAAAAAAAAAAHAgAAZHJzL2Rvd25yZXYueG1sUEsFBgAAAAADAAMAtwAAAPoCAAAAAA==&#10;" filled="f" strokecolor="#1f4d78 [1604]" strokeweight="1pt">
                              <v:textbox>
                                <w:txbxContent>
                                  <w:p w14:paraId="3515412E" w14:textId="77777777" w:rsidR="00CB1EF8" w:rsidRPr="0009108A" w:rsidRDefault="00CB1EF8" w:rsidP="00EF4E95">
                                    <w:pPr>
                                      <w:ind w:left="-142" w:right="-125"/>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Strategii pe domenii de activitate</w:t>
                                    </w:r>
                                  </w:p>
                                </w:txbxContent>
                              </v:textbox>
                            </v:rect>
                            <v:rect id="Rectangle 74" o:spid="_x0000_s1047" style="position:absolute;left:16853;top:5434;width:15173;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DgxgAAANsAAAAPAAAAZHJzL2Rvd25yZXYueG1sRI/dasJA&#10;FITvC77DcoTeNRultSW6kVgoSAXBVIreHbInP5g9G7NbTd/eFQq9HGbmG2axHEwrLtS7xrKCSRSD&#10;IC6sbrhSsP/6eHoD4TyyxtYyKfglB8t09LDARNsr7+iS+0oECLsEFdTed4mUrqjJoItsRxy80vYG&#10;fZB9JXWP1wA3rZzG8UwabDgs1NjRe03FKf8xCr53LyWtVrO93B6zczbJ18Pm86DU43jI5iA8Df4/&#10;/NdeawWvz3D/En6ATG8AAAD//wMAUEsBAi0AFAAGAAgAAAAhANvh9svuAAAAhQEAABMAAAAAAAAA&#10;AAAAAAAAAAAAAFtDb250ZW50X1R5cGVzXS54bWxQSwECLQAUAAYACAAAACEAWvQsW78AAAAVAQAA&#10;CwAAAAAAAAAAAAAAAAAfAQAAX3JlbHMvLnJlbHNQSwECLQAUAAYACAAAACEAtyIw4MYAAADbAAAA&#10;DwAAAAAAAAAAAAAAAAAHAgAAZHJzL2Rvd25yZXYueG1sUEsFBgAAAAADAAMAtwAAAPoCAAAAAA==&#10;" filled="f" strokecolor="#1f4d78 [1604]" strokeweight="1pt">
                              <v:textbox>
                                <w:txbxContent>
                                  <w:p w14:paraId="3D574016"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național de dezvoltare</w:t>
                                    </w:r>
                                  </w:p>
                                </w:txbxContent>
                              </v:textbox>
                            </v:rect>
                            <v:rect id="Rectangle 75" o:spid="_x0000_s1048" style="position:absolute;left:32824;top:5433;width:12498;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V7xAAAANsAAAAPAAAAZHJzL2Rvd25yZXYueG1sRI9Bi8Iw&#10;FITvC/6H8ARva6qgK9UoVVgQBcGuiN4ezbMtNi/dJmr990ZY2OMwM98ws0VrKnGnxpWWFQz6EQji&#10;zOqScwWHn+/PCQjnkTVWlknBkxws5p2PGcbaPnhP99TnIkDYxaig8L6OpXRZQQZd39bEwbvYxqAP&#10;ssmlbvAR4KaSwygaS4Mlh4UCa1oVlF3Tm1Fw3I8utFyOD3J3Tn6TQbput5uTUr1um0xBeGr9f/iv&#10;vdYKvkbw/hJ+gJy/AAAA//8DAFBLAQItABQABgAIAAAAIQDb4fbL7gAAAIUBAAATAAAAAAAAAAAA&#10;AAAAAAAAAABbQ29udGVudF9UeXBlc10ueG1sUEsBAi0AFAAGAAgAAAAhAFr0LFu/AAAAFQEAAAsA&#10;AAAAAAAAAAAAAAAAHwEAAF9yZWxzLy5yZWxzUEsBAi0AFAAGAAgAAAAhANhulXvEAAAA2wAAAA8A&#10;AAAAAAAAAAAAAAAABwIAAGRycy9kb3ducmV2LnhtbFBLBQYAAAAAAwADALcAAAD4AgAAAAA=&#10;" filled="f" strokecolor="#1f4d78 [1604]" strokeweight="1pt">
                              <v:textbox>
                                <w:txbxContent>
                                  <w:p w14:paraId="26529032"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Cadrul bugetar pe termen mediu</w:t>
                                    </w:r>
                                  </w:p>
                                </w:txbxContent>
                              </v:textbox>
                            </v:rect>
                            <v:rect id="Rectangle 76" o:spid="_x0000_s1049" style="position:absolute;left:405;top:12908;width:15377;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sMxgAAANsAAAAPAAAAZHJzL2Rvd25yZXYueG1sRI/dasJA&#10;FITvC32H5RR6VzcWjCW6kVgQRKFgGkTvDtmTH5o9m2a3mr59tyB4OczMN8xyNZpOXGhwrWUF00kE&#10;gri0uuVaQfG5eXkD4Tyyxs4yKfglB6v08WGJibZXPtAl97UIEHYJKmi87xMpXdmQQTexPXHwKjsY&#10;9EEOtdQDXgPcdPI1imJpsOWw0GBP7w2VX/mPUXA8zCpar+NCfpyz72yab8f97qTU89OYLUB4Gv09&#10;fGtvtYJ5DP9fwg+Q6R8AAAD//wMAUEsBAi0AFAAGAAgAAAAhANvh9svuAAAAhQEAABMAAAAAAAAA&#10;AAAAAAAAAAAAAFtDb250ZW50X1R5cGVzXS54bWxQSwECLQAUAAYACAAAACEAWvQsW78AAAAVAQAA&#10;CwAAAAAAAAAAAAAAAAAfAQAAX3JlbHMvLnJlbHNQSwECLQAUAAYACAAAACEAKLwLDMYAAADbAAAA&#10;DwAAAAAAAAAAAAAAAAAHAgAAZHJzL2Rvd25yZXYueG1sUEsFBgAAAAADAAMAtwAAAPoCAAAAAA==&#10;" filled="f" strokecolor="#1f4d78 [1604]" strokeweight="1pt">
                              <v:textbox>
                                <w:txbxContent>
                                  <w:p w14:paraId="6DE3EB3A"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anual al autorității publice</w:t>
                                    </w:r>
                                  </w:p>
                                </w:txbxContent>
                              </v:textbox>
                            </v:rect>
                            <v:rect id="Rectangle 77" o:spid="_x0000_s1050" style="position:absolute;left:16795;top:13037;width:15177;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6XxgAAANsAAAAPAAAAZHJzL2Rvd25yZXYueG1sRI/dasJA&#10;FITvC32H5RR6VzcKjRKzShQK0oJgKtLeHbInP5g9m2a3Jn17VxB6OczMN0y6Hk0rLtS7xrKC6SQC&#10;QVxY3XCl4Pj59rIA4TyyxtYyKfgjB+vV40OKibYDH+iS+0oECLsEFdTed4mUrqjJoJvYjjh4pe0N&#10;+iD7SuoehwA3rZxFUSwNNhwWauxoW1Nxzn+NgtPhtaTNJj7K/Xf2k03z3fjx/qXU89OYLUF4Gv1/&#10;+N7eaQXzOdy+hB8gV1cAAAD//wMAUEsBAi0AFAAGAAgAAAAhANvh9svuAAAAhQEAABMAAAAAAAAA&#10;AAAAAAAAAAAAAFtDb250ZW50X1R5cGVzXS54bWxQSwECLQAUAAYACAAAACEAWvQsW78AAAAVAQAA&#10;CwAAAAAAAAAAAAAAAAAfAQAAX3JlbHMvLnJlbHNQSwECLQAUAAYACAAAACEAR/Cul8YAAADbAAAA&#10;DwAAAAAAAAAAAAAAAAAHAgAAZHJzL2Rvd25yZXYueG1sUEsFBgAAAAADAAMAtwAAAPoCAAAAAA==&#10;" filled="f" strokecolor="#1f4d78 [1604]" strokeweight="1pt">
                              <v:textbox>
                                <w:txbxContent>
                                  <w:p w14:paraId="0AEDA7F9" w14:textId="77777777" w:rsidR="00CB1EF8" w:rsidRPr="0009108A" w:rsidRDefault="00CB1EF8" w:rsidP="00EF4E95">
                                    <w:pPr>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Planul anual al Guvernului</w:t>
                                    </w:r>
                                  </w:p>
                                </w:txbxContent>
                              </v:textbox>
                            </v:rect>
                            <v:rect id="Rectangle 78" o:spid="_x0000_s1051" style="position:absolute;left:32828;top:13005;width:12499;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4d78 [1604]" strokeweight="1pt">
                              <v:textbox>
                                <w:txbxContent>
                                  <w:p w14:paraId="0D6B5913" w14:textId="77777777" w:rsidR="00CB1EF8" w:rsidRPr="0009108A" w:rsidRDefault="00CB1EF8" w:rsidP="00EF4E95">
                                    <w:pPr>
                                      <w:ind w:left="-142" w:right="-77"/>
                                      <w:jc w:val="center"/>
                                      <w:rPr>
                                        <w:rFonts w:ascii="Times New Roman" w:hAnsi="Times New Roman" w:cs="Times New Roman"/>
                                        <w:color w:val="000000" w:themeColor="text1"/>
                                        <w:sz w:val="20"/>
                                        <w:szCs w:val="20"/>
                                        <w:lang w:val="ro-MD"/>
                                      </w:rPr>
                                    </w:pPr>
                                    <w:r w:rsidRPr="0009108A">
                                      <w:rPr>
                                        <w:rFonts w:ascii="Times New Roman" w:hAnsi="Times New Roman" w:cs="Times New Roman"/>
                                        <w:color w:val="000000" w:themeColor="text1"/>
                                        <w:sz w:val="20"/>
                                        <w:szCs w:val="20"/>
                                        <w:lang w:val="ro-MD"/>
                                      </w:rPr>
                                      <w:t>Bugetul de stat, bugetul asigurărilor sociale de stat (BASS), fondurile asigurării obligatorii de asistență medicală</w:t>
                                    </w:r>
                                  </w:p>
                                </w:txbxContent>
                              </v:textbox>
                            </v:rect>
                          </v:group>
                          <v:shape id="Straight Arrow Connector 79" o:spid="_x0000_s1052" type="#_x0000_t32" style="position:absolute;left:25164;top:2048;width: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AWwgAAANsAAAAPAAAAZHJzL2Rvd25yZXYueG1sRI9Pa8JA&#10;EMXvhX6HZQpeRDeKrTV1lVIQvTa14nHITrPB7GzITjV+e1co9Ph4f3685br3jTpTF+vABibjDBRx&#10;GWzNlYH912b0CioKssUmMBm4UoT16vFhibkNF/6kcyGVSiMcczTgRNpc61g68hjHoSVO3k/oPEqS&#10;XaVth5c07hs9zbIX7bHmRHDY0oej8lT8+sSl/XRYPA8Xs9MWv48HJ9fZRIwZPPXvb6CEevkP/7V3&#10;1sB8Afcv6Qfo1Q0AAP//AwBQSwECLQAUAAYACAAAACEA2+H2y+4AAACFAQAAEwAAAAAAAAAAAAAA&#10;AAAAAAAAW0NvbnRlbnRfVHlwZXNdLnhtbFBLAQItABQABgAIAAAAIQBa9CxbvwAAABUBAAALAAAA&#10;AAAAAAAAAAAAAB8BAABfcmVscy8ucmVsc1BLAQItABQABgAIAAAAIQBI2pAWwgAAANsAAAAPAAAA&#10;AAAAAAAAAAAAAAcCAABkcnMvZG93bnJldi54bWxQSwUGAAAAAAMAAwC3AAAA9gIAAAAA&#10;" strokecolor="#5b9bd5 [3204]" strokeweight=".5pt">
                            <v:stroke endarrow="block" joinstyle="miter"/>
                          </v:shape>
                          <v:shape id="Straight Arrow Connector 80" o:spid="_x0000_s1053" type="#_x0000_t32" style="position:absolute;left:34381;top:2121;width: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swAAAANsAAAAPAAAAZHJzL2Rvd25yZXYueG1sRE9NS8NA&#10;EL0L/Q/LCF6K3bRUqbHbUgTRa2MVj0N2zIZmZ0N2bNN/7xyEHh/ve70dY2dONOQ2sYP5rABDXCff&#10;cuPg8PF6vwKTBdljl5gcXCjDdjO5WWPp05n3dKqkMRrCuUQHQaQvrc11oIh5lnpi5X7SEFEUDo31&#10;A541PHZ2URSPNmLL2hCwp5dA9bH6jdpLh8W0epg+LY9v+Pn9FeSynItzd7fj7hmM0ChX8b/73TtY&#10;6Xr9oj/Abv4AAAD//wMAUEsBAi0AFAAGAAgAAAAhANvh9svuAAAAhQEAABMAAAAAAAAAAAAAAAAA&#10;AAAAAFtDb250ZW50X1R5cGVzXS54bWxQSwECLQAUAAYACAAAACEAWvQsW78AAAAVAQAACwAAAAAA&#10;AAAAAAAAAAAfAQAAX3JlbHMvLnJlbHNQSwECLQAUAAYACAAAACEA7DVJrMAAAADbAAAADwAAAAAA&#10;AAAAAAAAAAAHAgAAZHJzL2Rvd25yZXYueG1sUEsFBgAAAAADAAMAtwAAAPQCA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1" o:spid="_x0000_s1054" type="#_x0000_t34" style="position:absolute;left:15215;top:2121;width:2482;height:333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wBxgAAANsAAAAPAAAAZHJzL2Rvd25yZXYueG1sRI/NasMw&#10;EITvhbyD2EIvJZHcQwlOlBAHCoHSQ9LkkNva2tom1sq1FP+8fVUo9DjMzjc76+1oG9FT52vHGpKF&#10;AkFcOFNzqeH8+TZfgvAB2WDjmDRM5GG7mT2sMTVu4CP1p1CKCGGfooYqhDaV0hcVWfQL1xJH78t1&#10;FkOUXSlNh0OE20a+KPUqLdYcGypsaV9RcTvdbXwjvxY5XaZjtvvO3tVNfTz3edD66XHcrUAEGsP/&#10;8V/6YDQsE/jdEgEgNz8AAAD//wMAUEsBAi0AFAAGAAgAAAAhANvh9svuAAAAhQEAABMAAAAAAAAA&#10;AAAAAAAAAAAAAFtDb250ZW50X1R5cGVzXS54bWxQSwECLQAUAAYACAAAACEAWvQsW78AAAAVAQAA&#10;CwAAAAAAAAAAAAAAAAAfAQAAX3JlbHMvLnJlbHNQSwECLQAUAAYACAAAACEAlyRcAcYAAADbAAAA&#10;DwAAAAAAAAAAAAAAAAAHAgAAZHJzL2Rvd25yZXYueG1sUEsFBgAAAAADAAMAtwAAAPoCAAAAAA==&#10;" adj="21548" strokecolor="#5b9bd5 [3204]" strokeweight=".5pt">
                            <v:stroke endarrow="block"/>
                          </v:shape>
                          <v:shape id="Straight Arrow Connector 82" o:spid="_x0000_s1055" type="#_x0000_t32" style="position:absolute;left:12590;top:7884;width:1325;height: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pBwwAAANsAAAAPAAAAZHJzL2Rvd25yZXYueG1sRI/disIw&#10;FITvF3yHcBa8W9OVVUo1yios9Ub8fYBDc2zLNiclSbW+vREEL4eZ+YaZL3vTiCs5X1tW8D1KQBAX&#10;VtdcKjif/r5SED4ga2wsk4I7eVguBh9zzLS98YGux1CKCGGfoYIqhDaT0hcVGfQj2xJH72KdwRCl&#10;K6V2eItw08hxkkylwZrjQoUtrSsq/o+dUdDl03O7mrjTbp//bHfbfJ127q7U8LP/nYEI1Id3+NXe&#10;aAXpGJ5f4g+QiwcAAAD//wMAUEsBAi0AFAAGAAgAAAAhANvh9svuAAAAhQEAABMAAAAAAAAAAAAA&#10;AAAAAAAAAFtDb250ZW50X1R5cGVzXS54bWxQSwECLQAUAAYACAAAACEAWvQsW78AAAAVAQAACwAA&#10;AAAAAAAAAAAAAAAfAQAAX3JlbHMvLnJlbHNQSwECLQAUAAYACAAAACEAjNl6QcMAAADbAAAADwAA&#10;AAAAAAAAAAAAAAAHAgAAZHJzL2Rvd25yZXYueG1sUEsFBgAAAAADAAMAtwAAAPcCAAAAAA==&#10;" strokecolor="#5b9bd5 [3204]" strokeweight=".5pt">
                            <v:stroke endarrow="block" joinstyle="miter"/>
                          </v:shape>
                          <v:shape id="Straight Arrow Connector 83" o:spid="_x0000_s1056" type="#_x0000_t32" style="position:absolute;left:9436;top:10533;width:73;height:23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xQAAANsAAAAPAAAAZHJzL2Rvd25yZXYueG1sRI9Ba8JA&#10;FITvBf/D8gQvRTfVViS6Shsp9ForqLdH9pmNZt+m2W1M/fWuUOhxmJlvmMWqs5VoqfGlYwVPowQE&#10;ce50yYWC7df7cAbCB2SNlWNS8EseVsvewwJT7S78Se0mFCJC2KeowIRQp1L63JBFP3I1cfSOrrEY&#10;omwKqRu8RLit5DhJptJiyXHBYE2Zofy8+bEKDscX3b5l6zI3+2yye3y+fp/2a6UG/e51DiJQF/7D&#10;f+0PrWA2gfuX+APk8gYAAP//AwBQSwECLQAUAAYACAAAACEA2+H2y+4AAACFAQAAEwAAAAAAAAAA&#10;AAAAAAAAAAAAW0NvbnRlbnRfVHlwZXNdLnhtbFBLAQItABQABgAIAAAAIQBa9CxbvwAAABUBAAAL&#10;AAAAAAAAAAAAAAAAAB8BAABfcmVscy8ucmVsc1BLAQItABQABgAIAAAAIQDKO/y+xQAAANsAAAAP&#10;AAAAAAAAAAAAAAAAAAcCAABkcnMvZG93bnJldi54bWxQSwUGAAAAAAMAAwC3AAAA+QIAAAAA&#10;" strokecolor="#5b9bd5 [3204]" strokeweight=".5pt">
                            <v:stroke endarrow="block" joinstyle="miter"/>
                          </v:shape>
                          <v:shape id="Straight Arrow Connector 84" o:spid="_x0000_s1057" type="#_x0000_t32" style="position:absolute;left:49889;top:10607;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vwgAAANsAAAAPAAAAZHJzL2Rvd25yZXYueG1sRI9Pa8JA&#10;EMXvQr/DMoVepG6UWGzqKqUg7dVoS49DdpoNZmdDdtT47buC4PHx/vx4y/XgW3WiPjaBDUwnGSji&#10;KtiGawP73eZ5ASoKssU2MBm4UIT16mG0xMKGM2/pVEqt0gjHAg04ka7QOlaOPMZJ6IiT9xd6j5Jk&#10;X2vb4zmN+1bPsuxFe2w4ERx29OGoOpRHn7i0n43L+fg1P3zi9++Pk0s+FWOeHof3N1BCg9zDt/aX&#10;NbDI4fol/QC9+gcAAP//AwBQSwECLQAUAAYACAAAACEA2+H2y+4AAACFAQAAEwAAAAAAAAAAAAAA&#10;AAAAAAAAW0NvbnRlbnRfVHlwZXNdLnhtbFBLAQItABQABgAIAAAAIQBa9CxbvwAAABUBAAALAAAA&#10;AAAAAAAAAAAAAB8BAABfcmVscy8ucmVsc1BLAQItABQABgAIAAAAIQCTDk+vwgAAANsAAAAPAAAA&#10;AAAAAAAAAAAAAAcCAABkcnMvZG93bnJldi54bWxQSwUGAAAAAAMAAwC3AAAA9gIAAAAA&#10;" strokecolor="#5b9bd5 [3204]" strokeweight=".5pt">
                            <v:stroke endarrow="block" joinstyle="miter"/>
                          </v:shape>
                          <v:shape id="Straight Arrow Connector 85" o:spid="_x0000_s1058" type="#_x0000_t32" style="position:absolute;left:19677;top:15570;width:1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cxQAAANsAAAAPAAAAZHJzL2Rvd25yZXYueG1sRI9Ba8JA&#10;FITvBf/D8oTe6kahRaJrkIBtL6VoRertmX0mIdm3YXcbY3+9Wyh4HGbmG2aZDaYVPTlfW1YwnSQg&#10;iAuray4V7L82T3MQPiBrbC2Tgit5yFajhyWm2l54S/0ulCJC2KeooAqhS6X0RUUG/cR2xNE7W2cw&#10;ROlKqR1eIty0cpYkL9JgzXGhwo7yiopm92MUfJrX5hQ+9r/HwpXfb/ns0J6uB6Uex8N6ASLQEO7h&#10;//a7VjB/hr8v8QfI1Q0AAP//AwBQSwECLQAUAAYACAAAACEA2+H2y+4AAACFAQAAEwAAAAAAAAAA&#10;AAAAAAAAAAAAW0NvbnRlbnRfVHlwZXNdLnhtbFBLAQItABQABgAIAAAAIQBa9CxbvwAAABUBAAAL&#10;AAAAAAAAAAAAAAAAAB8BAABfcmVscy8ucmVsc1BLAQItABQABgAIAAAAIQA/Im0cxQAAANsAAAAP&#10;AAAAAAAAAAAAAAAAAAcCAABkcnMvZG93bnJldi54bWxQSwUGAAAAAAMAAwC3AAAA+QIAAAAA&#10;" strokecolor="#5b9bd5 [3204]" strokeweight=".5pt">
                            <v:stroke startarrow="block" endarrow="block" joinstyle="miter"/>
                          </v:shape>
                        </v:group>
                        <v:group id="Group 86" o:spid="_x0000_s1059" style="position:absolute;left:3434;top:10509;width:6071;height:956" coordsize="607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060" style="position:absolute;visibility:visible;mso-wrap-style:square" from="0,0" to="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DwwgAAANsAAAAPAAAAZHJzL2Rvd25yZXYueG1sRI9BawIx&#10;FITvBf9DeIK3mlWp1dUoUhDsqe2u4PWxeW4WNy9Lkrrrv28KhR6HmfmG2e4H24o7+dA4VjCbZiCI&#10;K6cbrhWcy+PzCkSIyBpbx6TgQQH2u9HTFnPtev6iexFrkSAcclRgYuxyKUNlyGKYuo44eVfnLcYk&#10;fS21xz7BbSvnWbaUFhtOCwY7ejNU3Ypvmyjl4v14WfqPWfPZcrkuTF++GKUm4+GwARFpiP/hv/ZJ&#10;K1i9wu+X9APk7gcAAP//AwBQSwECLQAUAAYACAAAACEA2+H2y+4AAACFAQAAEwAAAAAAAAAAAAAA&#10;AAAAAAAAW0NvbnRlbnRfVHlwZXNdLnhtbFBLAQItABQABgAIAAAAIQBa9CxbvwAAABUBAAALAAAA&#10;AAAAAAAAAAAAAB8BAABfcmVscy8ucmVsc1BLAQItABQABgAIAAAAIQCrm9DwwgAAANsAAAAPAAAA&#10;AAAAAAAAAAAAAAcCAABkcnMvZG93bnJldi54bWxQSwUGAAAAAAMAAwC3AAAA9gIAAAAA&#10;" strokecolor="#5b9bd5 [3204]">
                            <v:stroke dashstyle="dash"/>
                          </v:line>
                          <v:line id="Straight Connector 88" o:spid="_x0000_s1061" style="position:absolute;flip:y;visibility:visible;mso-wrap-style:square" from="0,950" to="607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6YwAAAANsAAAAPAAAAZHJzL2Rvd25yZXYueG1sRE/LisIw&#10;FN0L/kO4wuw0VVGkYxQRBBFG8bGZ3aW505ZpbmoSNTNfbxaCy8N5z5fRNOJOzteWFQwHGQjiwuqa&#10;SwWX86Y/A+EDssbGMin4Iw/LRbczx1zbBx/pfgqlSCHsc1RQhdDmUvqiIoN+YFvixP1YZzAk6Eqp&#10;HT5SuGnkKMum0mDNqaHCltYVFb+nm1HwNZ5saB3dv4kN2+/rfndY2atSH724+gQRKIa3+OXeagWz&#10;NDZ9ST9ALp4AAAD//wMAUEsBAi0AFAAGAAgAAAAhANvh9svuAAAAhQEAABMAAAAAAAAAAAAAAAAA&#10;AAAAAFtDb250ZW50X1R5cGVzXS54bWxQSwECLQAUAAYACAAAACEAWvQsW78AAAAVAQAACwAAAAAA&#10;AAAAAAAAAAAfAQAAX3JlbHMvLnJlbHNQSwECLQAUAAYACAAAACEA6DtemMAAAADbAAAADwAAAAAA&#10;AAAAAAAAAAAHAgAAZHJzL2Rvd25yZXYueG1sUEsFBgAAAAADAAMAtwAAAPQCAAAAAA==&#10;" strokecolor="#5b9bd5 [3204]">
                            <v:stroke dashstyle="dash"/>
                          </v:line>
                        </v:group>
                        <v:group id="Group 89" o:spid="_x0000_s1062" style="position:absolute;left:21018;top:4220;width:17610;height:530" coordsize="1760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90" o:spid="_x0000_s1063" style="position:absolute;flip:y;visibility:visible;mso-wrap-style:square" from="0,494" to="1760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9owQAAANsAAAAPAAAAZHJzL2Rvd25yZXYueG1sRE/LisIw&#10;FN0L/kO4gjtNFRTtGIuIBUEUxsdidneaO221uSlN1Pr3ZjHg8nDei6Q1lXhQ40rLCkbDCARxZnXJ&#10;uYLzKR3MQDiPrLGyTApe5CBZdjsLjLV98jc9jj4XIYRdjAoK7+tYSpcVZNANbU0cuD/bGPQBNrnU&#10;DT5DuKnkOIqm0mDJoaHAmtYFZbfj3ShI9f6XZ3N3+LnYcrrbXuvLZjJRqt9rV18gPLX+I/53b7WC&#10;eVgfvoQfIJdvAAAA//8DAFBLAQItABQABgAIAAAAIQDb4fbL7gAAAIUBAAATAAAAAAAAAAAAAAAA&#10;AAAAAABbQ29udGVudF9UeXBlc10ueG1sUEsBAi0AFAAGAAgAAAAhAFr0LFu/AAAAFQEAAAsAAAAA&#10;AAAAAAAAAAAAHwEAAF9yZWxzLy5yZWxzUEsBAi0AFAAGAAgAAAAhAElcH2jBAAAA2wAAAA8AAAAA&#10;AAAAAAAAAAAABwIAAGRycy9kb3ducmV2LnhtbFBLBQYAAAAAAwADALcAAAD1AgAAAAA=&#10;" strokecolor="#5b9bd5 [3204]" strokeweight=".5pt">
                            <v:stroke joinstyle="miter"/>
                          </v:line>
                          <v:line id="Straight Connector 91" o:spid="_x0000_s1064" style="position:absolute;visibility:visible;mso-wrap-style:square" from="0,0" to="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b0wwAAANsAAAAPAAAAZHJzL2Rvd25yZXYueG1sRI9Ba8JA&#10;FITvQv/D8grezMYWtI2uUgSLJ0FtD94e2Wc2Nvs2ZrdJ/PeuIHgcZuYbZr7sbSVaanzpWME4SUEQ&#10;506XXCj4OaxHHyB8QNZYOSYFV/KwXLwM5php1/GO2n0oRISwz1CBCaHOpPS5IYs+cTVx9E6usRii&#10;bAqpG+wi3FbyLU0n0mLJccFgTStD+d/+3yq4YL4me/z9btPOtO+TU72dno9KDV/7rxmIQH14hh/t&#10;jVbwOYb7l/gD5OIGAAD//wMAUEsBAi0AFAAGAAgAAAAhANvh9svuAAAAhQEAABMAAAAAAAAAAAAA&#10;AAAAAAAAAFtDb250ZW50X1R5cGVzXS54bWxQSwECLQAUAAYACAAAACEAWvQsW78AAAAVAQAACwAA&#10;AAAAAAAAAAAAAAAfAQAAX3JlbHMvLnJlbHNQSwECLQAUAAYACAAAACEAUcIm9MMAAADbAAAADwAA&#10;AAAAAAAAAAAAAAAHAgAAZHJzL2Rvd25yZXYueG1sUEsFBgAAAAADAAMAtwAAAPcCAAAAAA==&#10;" strokecolor="#5b9bd5 [3204]" strokeweight=".5pt">
                            <v:stroke joinstyle="miter"/>
                          </v:line>
                        </v:group>
                      </v:group>
                    </v:group>
                  </v:group>
                </v:group>
                <v:shapetype id="_x0000_t202" coordsize="21600,21600" o:spt="202" path="m,l,21600r21600,l21600,xe">
                  <v:stroke joinstyle="miter"/>
                  <v:path gradientshapeok="t" o:connecttype="rect"/>
                </v:shapetype>
                <v:shape id="Text Box 92" o:spid="_x0000_s1065" type="#_x0000_t202" style="position:absolute;left:14943;top:18461;width:30477;height:1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F4xAAAANsAAAAPAAAAZHJzL2Rvd25yZXYueG1sRI/BasMw&#10;EETvgf6D2EJuiRwHiu1GNiUQ8CE51G3pdbG2tqm1ciUlcf4+KhR6HGbmDbOrZjOKCzk/WFawWScg&#10;iFurB+4UvL8dVhkIH5A1jpZJwY08VOXDYoeFtld+pUsTOhEh7AtU0IcwFVL6tieDfm0n4uh9WWcw&#10;ROk6qR1eI9yMMk2SJ2lw4LjQ40T7ntrv5mwUnPZ5k9XpzX3m2/rQZD8be8w+lFo+zi/PIALN4T/8&#10;1661gjyF3y/xB8jyDgAA//8DAFBLAQItABQABgAIAAAAIQDb4fbL7gAAAIUBAAATAAAAAAAAAAAA&#10;AAAAAAAAAABbQ29udGVudF9UeXBlc10ueG1sUEsBAi0AFAAGAAgAAAAhAFr0LFu/AAAAFQEAAAsA&#10;AAAAAAAAAAAAAAAAHwEAAF9yZWxzLy5yZWxzUEsBAi0AFAAGAAgAAAAhACBXsXjEAAAA2wAAAA8A&#10;AAAAAAAAAAAAAAAABwIAAGRycy9kb3ducmV2LnhtbFBLBQYAAAAAAwADALcAAAD4AgAAAAA=&#10;" fillcolor="white [3201]" stroked="f" strokeweight=".5pt">
                  <v:textbox>
                    <w:txbxContent>
                      <w:p w14:paraId="6EDD7F8A" w14:textId="072959E2" w:rsidR="00CB1EF8" w:rsidRPr="00C24C9C" w:rsidRDefault="00CB1EF8" w:rsidP="00EF4E95">
                        <w:pPr>
                          <w:rPr>
                            <w:rFonts w:ascii="Times New Roman" w:hAnsi="Times New Roman" w:cs="Times New Roman"/>
                            <w:i/>
                            <w:sz w:val="20"/>
                            <w:szCs w:val="20"/>
                            <w:lang w:val="ro-MD"/>
                          </w:rPr>
                        </w:pPr>
                        <w:r w:rsidRPr="00C24C9C">
                          <w:rPr>
                            <w:rFonts w:ascii="Times New Roman" w:hAnsi="Times New Roman" w:cs="Times New Roman"/>
                            <w:b/>
                            <w:i/>
                            <w:sz w:val="20"/>
                            <w:szCs w:val="20"/>
                            <w:lang w:val="ro-MD"/>
                          </w:rPr>
                          <w:t>Sursa:</w:t>
                        </w:r>
                        <w:r w:rsidRPr="00C24C9C">
                          <w:rPr>
                            <w:rFonts w:ascii="Times New Roman" w:hAnsi="Times New Roman" w:cs="Times New Roman"/>
                            <w:i/>
                            <w:sz w:val="20"/>
                            <w:szCs w:val="20"/>
                            <w:lang w:val="ro-MD"/>
                          </w:rPr>
                          <w:t xml:space="preserve"> Anexa n</w:t>
                        </w:r>
                        <w:r>
                          <w:rPr>
                            <w:rFonts w:ascii="Times New Roman" w:hAnsi="Times New Roman" w:cs="Times New Roman"/>
                            <w:i/>
                            <w:sz w:val="20"/>
                            <w:szCs w:val="20"/>
                            <w:lang w:val="ro-MD"/>
                          </w:rPr>
                          <w:t>r</w:t>
                        </w:r>
                        <w:r w:rsidRPr="00C24C9C">
                          <w:rPr>
                            <w:rFonts w:ascii="Times New Roman" w:hAnsi="Times New Roman" w:cs="Times New Roman"/>
                            <w:i/>
                            <w:sz w:val="20"/>
                            <w:szCs w:val="20"/>
                            <w:lang w:val="ro-MD"/>
                          </w:rPr>
                          <w:t>. 1 la Hotărârea Guvernului nr. 386/2020</w:t>
                        </w:r>
                        <w:r>
                          <w:rPr>
                            <w:rFonts w:ascii="Times New Roman" w:hAnsi="Times New Roman" w:cs="Times New Roman"/>
                            <w:i/>
                            <w:sz w:val="20"/>
                            <w:szCs w:val="20"/>
                            <w:lang w:val="ro-MD"/>
                          </w:rPr>
                          <w:t xml:space="preserve"> (în vigoare până pe 04.11.2024)</w:t>
                        </w:r>
                      </w:p>
                    </w:txbxContent>
                  </v:textbox>
                </v:shape>
                <w10:wrap type="topAndBottom"/>
              </v:group>
            </w:pict>
          </mc:Fallback>
        </mc:AlternateContent>
      </w:r>
      <w:r w:rsidR="00EF4E95" w:rsidRPr="00483DC7">
        <w:rPr>
          <w:rFonts w:ascii="Times New Roman" w:hAnsi="Times New Roman" w:cs="Times New Roman"/>
          <w:b/>
          <w:color w:val="auto"/>
          <w:sz w:val="24"/>
          <w:szCs w:val="24"/>
          <w:lang w:val="ro-MD"/>
        </w:rPr>
        <w:t>Anexa nr.</w:t>
      </w:r>
      <w:r w:rsidR="00653B00" w:rsidRPr="00483DC7">
        <w:rPr>
          <w:rFonts w:ascii="Times New Roman" w:hAnsi="Times New Roman" w:cs="Times New Roman"/>
          <w:b/>
          <w:color w:val="auto"/>
          <w:sz w:val="24"/>
          <w:szCs w:val="24"/>
          <w:lang w:val="ro-MD"/>
        </w:rPr>
        <w:t xml:space="preserve"> </w:t>
      </w:r>
      <w:r w:rsidR="00EF4E95" w:rsidRPr="00483DC7">
        <w:rPr>
          <w:rFonts w:ascii="Times New Roman" w:hAnsi="Times New Roman" w:cs="Times New Roman"/>
          <w:b/>
          <w:color w:val="auto"/>
          <w:sz w:val="24"/>
          <w:szCs w:val="24"/>
          <w:lang w:val="ro-MD"/>
        </w:rPr>
        <w:t>3:</w:t>
      </w:r>
      <w:r w:rsidR="0009108A" w:rsidRPr="00483DC7">
        <w:rPr>
          <w:rFonts w:ascii="Times New Roman" w:hAnsi="Times New Roman" w:cs="Times New Roman"/>
          <w:b/>
          <w:color w:val="auto"/>
          <w:sz w:val="24"/>
          <w:szCs w:val="24"/>
          <w:lang w:val="ro-MD"/>
        </w:rPr>
        <w:t xml:space="preserve"> </w:t>
      </w:r>
      <w:r w:rsidR="0009108A" w:rsidRPr="00483DC7">
        <w:rPr>
          <w:rFonts w:ascii="Times New Roman" w:hAnsi="Times New Roman" w:cs="Times New Roman"/>
          <w:color w:val="auto"/>
          <w:sz w:val="24"/>
          <w:szCs w:val="24"/>
          <w:lang w:val="ro-MD"/>
        </w:rPr>
        <w:t>Legătura dintre documentele de politici publice și documentele de planificare</w:t>
      </w:r>
      <w:bookmarkEnd w:id="31"/>
    </w:p>
    <w:p w14:paraId="051B01AA" w14:textId="77777777" w:rsidR="00EF4E95" w:rsidRPr="00483DC7" w:rsidRDefault="00EF4E95" w:rsidP="00EF4E95">
      <w:pPr>
        <w:rPr>
          <w:lang w:val="ro-MD"/>
        </w:rPr>
      </w:pPr>
    </w:p>
    <w:p w14:paraId="781B8A75" w14:textId="77777777" w:rsidR="00EF4E95" w:rsidRPr="00483DC7" w:rsidRDefault="00EF4E95" w:rsidP="000B393A">
      <w:pPr>
        <w:pStyle w:val="Heading2"/>
        <w:spacing w:after="240"/>
        <w:rPr>
          <w:rFonts w:ascii="Times New Roman" w:hAnsi="Times New Roman" w:cs="Times New Roman"/>
          <w:b/>
          <w:color w:val="auto"/>
          <w:sz w:val="24"/>
          <w:szCs w:val="24"/>
          <w:lang w:val="ro-MD"/>
        </w:rPr>
      </w:pPr>
      <w:r w:rsidRPr="00483DC7">
        <w:rPr>
          <w:rFonts w:ascii="Times New Roman" w:hAnsi="Times New Roman" w:cs="Times New Roman"/>
          <w:b/>
          <w:color w:val="auto"/>
          <w:sz w:val="24"/>
          <w:szCs w:val="24"/>
          <w:lang w:val="ro-MD"/>
        </w:rPr>
        <w:br w:type="page"/>
      </w:r>
    </w:p>
    <w:p w14:paraId="539B9114" w14:textId="77777777" w:rsidR="000A7F0B" w:rsidRPr="00483DC7" w:rsidRDefault="000A7F0B" w:rsidP="000A7F0B">
      <w:pPr>
        <w:pStyle w:val="Heading2"/>
        <w:spacing w:after="240"/>
        <w:rPr>
          <w:rFonts w:ascii="Times New Roman" w:hAnsi="Times New Roman" w:cs="Times New Roman"/>
          <w:color w:val="auto"/>
          <w:sz w:val="24"/>
          <w:szCs w:val="24"/>
          <w:lang w:val="ro-MD"/>
        </w:rPr>
      </w:pPr>
      <w:bookmarkStart w:id="32" w:name="_Toc180532866"/>
      <w:bookmarkStart w:id="33" w:name="_Toc185943228"/>
      <w:r w:rsidRPr="00483DC7">
        <w:rPr>
          <w:rFonts w:ascii="Times New Roman" w:hAnsi="Times New Roman" w:cs="Times New Roman"/>
          <w:b/>
          <w:color w:val="auto"/>
          <w:sz w:val="24"/>
          <w:szCs w:val="24"/>
          <w:lang w:val="ro-MD"/>
        </w:rPr>
        <w:lastRenderedPageBreak/>
        <w:t xml:space="preserve">Anexa nr. </w:t>
      </w:r>
      <w:r w:rsidR="000850C2" w:rsidRPr="00483DC7">
        <w:rPr>
          <w:rFonts w:ascii="Times New Roman" w:hAnsi="Times New Roman" w:cs="Times New Roman"/>
          <w:b/>
          <w:color w:val="auto"/>
          <w:sz w:val="24"/>
          <w:szCs w:val="24"/>
          <w:lang w:val="ro-MD"/>
        </w:rPr>
        <w:t>4</w:t>
      </w:r>
      <w:r w:rsidRPr="00483DC7">
        <w:rPr>
          <w:rFonts w:ascii="Times New Roman" w:hAnsi="Times New Roman" w:cs="Times New Roman"/>
          <w:b/>
          <w:color w:val="auto"/>
          <w:sz w:val="24"/>
          <w:szCs w:val="24"/>
          <w:lang w:val="ro-MD"/>
        </w:rPr>
        <w:t>:</w:t>
      </w:r>
      <w:r w:rsidRPr="00483DC7">
        <w:rPr>
          <w:rFonts w:ascii="Times New Roman" w:hAnsi="Times New Roman" w:cs="Times New Roman"/>
          <w:color w:val="auto"/>
          <w:sz w:val="24"/>
          <w:szCs w:val="24"/>
          <w:lang w:val="ro-MD"/>
        </w:rPr>
        <w:t xml:space="preserve"> Analiza activității Organelor colegiale de supraveghere ale UIPFAE</w:t>
      </w:r>
      <w:bookmarkEnd w:id="32"/>
      <w:bookmarkEnd w:id="33"/>
    </w:p>
    <w:tbl>
      <w:tblPr>
        <w:tblW w:w="14171" w:type="dxa"/>
        <w:tblInd w:w="-5" w:type="dxa"/>
        <w:tblLook w:val="04A0" w:firstRow="1" w:lastRow="0" w:firstColumn="1" w:lastColumn="0" w:noHBand="0" w:noVBand="1"/>
      </w:tblPr>
      <w:tblGrid>
        <w:gridCol w:w="482"/>
        <w:gridCol w:w="1372"/>
        <w:gridCol w:w="1276"/>
        <w:gridCol w:w="8224"/>
        <w:gridCol w:w="851"/>
        <w:gridCol w:w="985"/>
        <w:gridCol w:w="981"/>
      </w:tblGrid>
      <w:tr w:rsidR="000A7F0B" w:rsidRPr="00483DC7" w14:paraId="4E5315E9" w14:textId="77777777" w:rsidTr="000A7F0B">
        <w:tc>
          <w:tcPr>
            <w:tcW w:w="47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99FBC" w14:textId="02326E8B" w:rsidR="000A7F0B" w:rsidRPr="00483DC7" w:rsidRDefault="000A7F0B" w:rsidP="00C624F9">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Nr. </w:t>
            </w:r>
            <w:r w:rsidR="00C624F9">
              <w:rPr>
                <w:rFonts w:ascii="Times New Roman" w:hAnsi="Times New Roman" w:cs="Times New Roman"/>
                <w:b/>
                <w:sz w:val="18"/>
                <w:szCs w:val="18"/>
                <w:lang w:val="ro-MD"/>
              </w:rPr>
              <w:t>crt.</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19F3F"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Denumirea UIPFAE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173DAE"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Componența numerică conform HG</w:t>
            </w:r>
          </w:p>
        </w:tc>
        <w:tc>
          <w:tcPr>
            <w:tcW w:w="823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A6178C" w14:textId="77777777" w:rsidR="000A7F0B" w:rsidRPr="00483DC7" w:rsidRDefault="000A7F0B" w:rsidP="000A7F0B">
            <w:pPr>
              <w:spacing w:after="0"/>
              <w:ind w:right="51"/>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Componența nominală a Organului colegial de supraveghere</w:t>
            </w:r>
          </w:p>
        </w:tc>
        <w:tc>
          <w:tcPr>
            <w:tcW w:w="281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23FCE"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Nr. de ședințe desfășurate </w:t>
            </w:r>
          </w:p>
          <w:p w14:paraId="05B6BBE6"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în anii 2022-2023 (unități)</w:t>
            </w:r>
          </w:p>
        </w:tc>
      </w:tr>
      <w:tr w:rsidR="000A7F0B" w:rsidRPr="00483DC7" w14:paraId="17178494" w14:textId="77777777" w:rsidTr="000A7F0B">
        <w:tc>
          <w:tcPr>
            <w:tcW w:w="47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C5DB0" w14:textId="77777777" w:rsidR="000A7F0B" w:rsidRPr="00483DC7" w:rsidRDefault="000A7F0B" w:rsidP="000A7F0B">
            <w:pPr>
              <w:spacing w:after="0"/>
              <w:jc w:val="center"/>
              <w:rPr>
                <w:rFonts w:ascii="Times New Roman" w:hAnsi="Times New Roman" w:cs="Times New Roman"/>
                <w:b/>
                <w:sz w:val="18"/>
                <w:szCs w:val="18"/>
                <w:lang w:val="ro-MD"/>
              </w:rPr>
            </w:pPr>
          </w:p>
        </w:tc>
        <w:tc>
          <w:tcPr>
            <w:tcW w:w="137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23252C" w14:textId="77777777" w:rsidR="000A7F0B" w:rsidRPr="00483DC7" w:rsidRDefault="000A7F0B" w:rsidP="000A7F0B">
            <w:pPr>
              <w:spacing w:after="0"/>
              <w:jc w:val="center"/>
              <w:rPr>
                <w:rFonts w:ascii="Times New Roman" w:hAnsi="Times New Roman" w:cs="Times New Roman"/>
                <w:b/>
                <w:sz w:val="18"/>
                <w:szCs w:val="18"/>
                <w:lang w:val="ro-MD"/>
              </w:rPr>
            </w:pPr>
          </w:p>
        </w:tc>
        <w:tc>
          <w:tcPr>
            <w:tcW w:w="127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55C29A" w14:textId="77777777" w:rsidR="000A7F0B" w:rsidRPr="00483DC7" w:rsidRDefault="000A7F0B" w:rsidP="000A7F0B">
            <w:pPr>
              <w:spacing w:after="0"/>
              <w:jc w:val="center"/>
              <w:rPr>
                <w:rFonts w:ascii="Times New Roman" w:hAnsi="Times New Roman" w:cs="Times New Roman"/>
                <w:b/>
                <w:sz w:val="18"/>
                <w:szCs w:val="18"/>
                <w:lang w:val="ro-MD"/>
              </w:rPr>
            </w:pPr>
          </w:p>
        </w:tc>
        <w:tc>
          <w:tcPr>
            <w:tcW w:w="823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1781F0" w14:textId="77777777" w:rsidR="000A7F0B" w:rsidRPr="00483DC7" w:rsidRDefault="000A7F0B" w:rsidP="000A7F0B">
            <w:pPr>
              <w:spacing w:after="0"/>
              <w:jc w:val="center"/>
              <w:rPr>
                <w:rFonts w:ascii="Times New Roman" w:hAnsi="Times New Roman" w:cs="Times New Roman"/>
                <w:b/>
                <w:sz w:val="18"/>
                <w:szCs w:val="18"/>
                <w:lang w:val="ro-MD"/>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E08E8F"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TOTAL</w:t>
            </w:r>
          </w:p>
        </w:tc>
        <w:tc>
          <w:tcPr>
            <w:tcW w:w="9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9CA88" w14:textId="564740D6" w:rsidR="000A7F0B" w:rsidRPr="00483DC7" w:rsidRDefault="00C624F9" w:rsidP="000A7F0B">
            <w:pPr>
              <w:spacing w:after="0"/>
              <w:jc w:val="center"/>
              <w:rPr>
                <w:rFonts w:ascii="Times New Roman" w:hAnsi="Times New Roman" w:cs="Times New Roman"/>
                <w:b/>
                <w:sz w:val="18"/>
                <w:szCs w:val="18"/>
                <w:lang w:val="ro-MD"/>
              </w:rPr>
            </w:pPr>
            <w:r>
              <w:rPr>
                <w:rFonts w:ascii="Times New Roman" w:hAnsi="Times New Roman" w:cs="Times New Roman"/>
                <w:b/>
                <w:sz w:val="18"/>
                <w:szCs w:val="18"/>
                <w:lang w:val="ro-MD"/>
              </w:rPr>
              <w:t>a</w:t>
            </w:r>
            <w:r w:rsidR="000A7F0B" w:rsidRPr="00483DC7">
              <w:rPr>
                <w:rFonts w:ascii="Times New Roman" w:hAnsi="Times New Roman" w:cs="Times New Roman"/>
                <w:b/>
                <w:sz w:val="18"/>
                <w:szCs w:val="18"/>
                <w:lang w:val="ro-MD"/>
              </w:rPr>
              <w:t>nul 2022</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BA14B" w14:textId="26319CE0" w:rsidR="000A7F0B" w:rsidRPr="00483DC7" w:rsidRDefault="00C624F9" w:rsidP="000A7F0B">
            <w:pPr>
              <w:spacing w:after="0"/>
              <w:jc w:val="center"/>
              <w:rPr>
                <w:rFonts w:ascii="Times New Roman" w:hAnsi="Times New Roman" w:cs="Times New Roman"/>
                <w:b/>
                <w:sz w:val="18"/>
                <w:szCs w:val="18"/>
                <w:lang w:val="ro-MD"/>
              </w:rPr>
            </w:pPr>
            <w:r>
              <w:rPr>
                <w:rFonts w:ascii="Times New Roman" w:hAnsi="Times New Roman" w:cs="Times New Roman"/>
                <w:b/>
                <w:sz w:val="18"/>
                <w:szCs w:val="18"/>
                <w:lang w:val="ro-MD"/>
              </w:rPr>
              <w:t>a</w:t>
            </w:r>
            <w:r w:rsidR="000A7F0B" w:rsidRPr="00483DC7">
              <w:rPr>
                <w:rFonts w:ascii="Times New Roman" w:hAnsi="Times New Roman" w:cs="Times New Roman"/>
                <w:b/>
                <w:sz w:val="18"/>
                <w:szCs w:val="18"/>
                <w:lang w:val="ro-MD"/>
              </w:rPr>
              <w:t>nul 2023</w:t>
            </w:r>
          </w:p>
        </w:tc>
      </w:tr>
      <w:tr w:rsidR="000A7F0B" w:rsidRPr="00483DC7" w14:paraId="3F6FDD78" w14:textId="77777777" w:rsidTr="000A7F0B">
        <w:tc>
          <w:tcPr>
            <w:tcW w:w="471" w:type="dxa"/>
            <w:tcBorders>
              <w:top w:val="single" w:sz="4" w:space="0" w:color="auto"/>
              <w:left w:val="single" w:sz="4" w:space="0" w:color="auto"/>
              <w:bottom w:val="single" w:sz="4" w:space="0" w:color="auto"/>
              <w:right w:val="single" w:sz="4" w:space="0" w:color="auto"/>
            </w:tcBorders>
          </w:tcPr>
          <w:p w14:paraId="7C45DC6E"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72" w:type="dxa"/>
            <w:tcBorders>
              <w:top w:val="single" w:sz="4" w:space="0" w:color="auto"/>
              <w:left w:val="single" w:sz="4" w:space="0" w:color="auto"/>
              <w:bottom w:val="single" w:sz="4" w:space="0" w:color="auto"/>
              <w:right w:val="single" w:sz="4" w:space="0" w:color="auto"/>
            </w:tcBorders>
            <w:vAlign w:val="center"/>
          </w:tcPr>
          <w:p w14:paraId="1F2670C8"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ADMA</w:t>
            </w:r>
          </w:p>
        </w:tc>
        <w:tc>
          <w:tcPr>
            <w:tcW w:w="1276" w:type="dxa"/>
            <w:tcBorders>
              <w:top w:val="single" w:sz="4" w:space="0" w:color="auto"/>
              <w:left w:val="single" w:sz="4" w:space="0" w:color="auto"/>
              <w:bottom w:val="single" w:sz="4" w:space="0" w:color="auto"/>
              <w:right w:val="single" w:sz="4" w:space="0" w:color="auto"/>
            </w:tcBorders>
            <w:vAlign w:val="center"/>
          </w:tcPr>
          <w:p w14:paraId="20C17636"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7</w:t>
            </w:r>
          </w:p>
        </w:tc>
        <w:tc>
          <w:tcPr>
            <w:tcW w:w="8233" w:type="dxa"/>
            <w:tcBorders>
              <w:top w:val="single" w:sz="4" w:space="0" w:color="auto"/>
              <w:left w:val="single" w:sz="4" w:space="0" w:color="auto"/>
              <w:bottom w:val="single" w:sz="4" w:space="0" w:color="auto"/>
              <w:right w:val="single" w:sz="4" w:space="0" w:color="auto"/>
            </w:tcBorders>
            <w:vAlign w:val="center"/>
          </w:tcPr>
          <w:p w14:paraId="38E0A905" w14:textId="34FDA31A"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MAIA (2 p</w:t>
            </w:r>
            <w:r w:rsidR="00C624F9">
              <w:rPr>
                <w:rFonts w:ascii="Times New Roman" w:hAnsi="Times New Roman" w:cs="Times New Roman"/>
                <w:sz w:val="18"/>
                <w:szCs w:val="18"/>
                <w:lang w:val="ro-MD"/>
              </w:rPr>
              <w:t>ersoane), Asociația de Profil a</w:t>
            </w:r>
            <w:r w:rsidRPr="00483DC7">
              <w:rPr>
                <w:rFonts w:ascii="Times New Roman" w:hAnsi="Times New Roman" w:cs="Times New Roman"/>
                <w:sz w:val="18"/>
                <w:szCs w:val="18"/>
                <w:lang w:val="ro-MD"/>
              </w:rPr>
              <w:t xml:space="preserve"> Fermierilor (2 persoane), </w:t>
            </w:r>
          </w:p>
          <w:p w14:paraId="1DC0EF86"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 xml:space="preserve">MF (1 persoană), Cancelaria de Stat (1 persoană), ADMA (1 persoană). </w:t>
            </w:r>
          </w:p>
        </w:tc>
        <w:tc>
          <w:tcPr>
            <w:tcW w:w="851" w:type="dxa"/>
            <w:tcBorders>
              <w:top w:val="single" w:sz="4" w:space="0" w:color="auto"/>
              <w:left w:val="single" w:sz="4" w:space="0" w:color="auto"/>
              <w:bottom w:val="single" w:sz="4" w:space="0" w:color="auto"/>
              <w:right w:val="single" w:sz="4" w:space="0" w:color="auto"/>
            </w:tcBorders>
            <w:vAlign w:val="center"/>
          </w:tcPr>
          <w:p w14:paraId="0DB19ED5"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6</w:t>
            </w:r>
          </w:p>
        </w:tc>
        <w:tc>
          <w:tcPr>
            <w:tcW w:w="986" w:type="dxa"/>
            <w:tcBorders>
              <w:top w:val="single" w:sz="4" w:space="0" w:color="auto"/>
              <w:left w:val="single" w:sz="4" w:space="0" w:color="auto"/>
              <w:bottom w:val="single" w:sz="4" w:space="0" w:color="auto"/>
              <w:right w:val="single" w:sz="4" w:space="0" w:color="auto"/>
            </w:tcBorders>
            <w:vAlign w:val="center"/>
          </w:tcPr>
          <w:p w14:paraId="7226F8D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82" w:type="dxa"/>
            <w:tcBorders>
              <w:top w:val="single" w:sz="4" w:space="0" w:color="auto"/>
              <w:left w:val="single" w:sz="4" w:space="0" w:color="auto"/>
              <w:bottom w:val="single" w:sz="4" w:space="0" w:color="auto"/>
              <w:right w:val="single" w:sz="4" w:space="0" w:color="auto"/>
            </w:tcBorders>
            <w:vAlign w:val="center"/>
          </w:tcPr>
          <w:p w14:paraId="5C262BE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r>
      <w:tr w:rsidR="000A7F0B" w:rsidRPr="00483DC7" w14:paraId="57EA5446" w14:textId="77777777" w:rsidTr="000A7F0B">
        <w:tc>
          <w:tcPr>
            <w:tcW w:w="471" w:type="dxa"/>
            <w:tcBorders>
              <w:top w:val="single" w:sz="4" w:space="0" w:color="auto"/>
              <w:left w:val="single" w:sz="4" w:space="0" w:color="auto"/>
              <w:bottom w:val="single" w:sz="4" w:space="0" w:color="auto"/>
              <w:right w:val="single" w:sz="4" w:space="0" w:color="auto"/>
            </w:tcBorders>
          </w:tcPr>
          <w:p w14:paraId="41900B2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372" w:type="dxa"/>
            <w:tcBorders>
              <w:top w:val="single" w:sz="4" w:space="0" w:color="auto"/>
              <w:left w:val="single" w:sz="4" w:space="0" w:color="auto"/>
              <w:bottom w:val="single" w:sz="4" w:space="0" w:color="auto"/>
              <w:right w:val="single" w:sz="4" w:space="0" w:color="auto"/>
            </w:tcBorders>
            <w:vAlign w:val="center"/>
          </w:tcPr>
          <w:p w14:paraId="4E099B3B"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OGPAE</w:t>
            </w:r>
          </w:p>
        </w:tc>
        <w:tc>
          <w:tcPr>
            <w:tcW w:w="1276" w:type="dxa"/>
            <w:tcBorders>
              <w:top w:val="single" w:sz="4" w:space="0" w:color="auto"/>
              <w:left w:val="single" w:sz="4" w:space="0" w:color="auto"/>
              <w:bottom w:val="single" w:sz="4" w:space="0" w:color="auto"/>
              <w:right w:val="single" w:sz="4" w:space="0" w:color="auto"/>
            </w:tcBorders>
            <w:vAlign w:val="center"/>
          </w:tcPr>
          <w:p w14:paraId="61951720" w14:textId="5F5F42A2" w:rsidR="000A7F0B" w:rsidRPr="00483DC7" w:rsidRDefault="003B6673"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8233" w:type="dxa"/>
            <w:tcBorders>
              <w:top w:val="single" w:sz="4" w:space="0" w:color="auto"/>
              <w:left w:val="single" w:sz="4" w:space="0" w:color="auto"/>
              <w:bottom w:val="single" w:sz="4" w:space="0" w:color="auto"/>
              <w:right w:val="single" w:sz="4" w:space="0" w:color="auto"/>
            </w:tcBorders>
            <w:vAlign w:val="center"/>
          </w:tcPr>
          <w:p w14:paraId="2FA507A9" w14:textId="77777777" w:rsidR="000A7F0B" w:rsidRPr="00483DC7" w:rsidRDefault="000A7F0B" w:rsidP="000A7F0B">
            <w:pPr>
              <w:spacing w:after="0"/>
              <w:jc w:val="both"/>
              <w:rPr>
                <w:rFonts w:ascii="Times New Roman" w:hAnsi="Times New Roman" w:cs="Times New Roman"/>
                <w:b/>
                <w:sz w:val="18"/>
                <w:szCs w:val="18"/>
                <w:lang w:val="ro-MD"/>
              </w:rPr>
            </w:pPr>
            <w:r w:rsidRPr="00483DC7">
              <w:rPr>
                <w:rFonts w:ascii="Times New Roman" w:hAnsi="Times New Roman" w:cs="Times New Roman"/>
                <w:b/>
                <w:sz w:val="18"/>
                <w:szCs w:val="18"/>
                <w:lang w:val="ro-MD"/>
              </w:rPr>
              <w:t xml:space="preserve">Conform Ordinului MF nr.31/2023: </w:t>
            </w:r>
            <w:r w:rsidRPr="00483DC7">
              <w:rPr>
                <w:rFonts w:ascii="Times New Roman" w:hAnsi="Times New Roman" w:cs="Times New Roman"/>
                <w:sz w:val="18"/>
                <w:szCs w:val="18"/>
                <w:lang w:val="ro-MD"/>
              </w:rPr>
              <w:t>MF (3 persoane), MDED (1 persoană), MAIA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69239A7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8</w:t>
            </w:r>
          </w:p>
        </w:tc>
        <w:tc>
          <w:tcPr>
            <w:tcW w:w="986" w:type="dxa"/>
            <w:tcBorders>
              <w:top w:val="single" w:sz="4" w:space="0" w:color="auto"/>
              <w:left w:val="single" w:sz="4" w:space="0" w:color="auto"/>
              <w:bottom w:val="single" w:sz="4" w:space="0" w:color="auto"/>
              <w:right w:val="single" w:sz="4" w:space="0" w:color="auto"/>
            </w:tcBorders>
            <w:vAlign w:val="center"/>
          </w:tcPr>
          <w:p w14:paraId="15EA7AD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982" w:type="dxa"/>
            <w:tcBorders>
              <w:top w:val="single" w:sz="4" w:space="0" w:color="auto"/>
              <w:left w:val="single" w:sz="4" w:space="0" w:color="auto"/>
              <w:bottom w:val="single" w:sz="4" w:space="0" w:color="auto"/>
              <w:right w:val="single" w:sz="4" w:space="0" w:color="auto"/>
            </w:tcBorders>
            <w:vAlign w:val="center"/>
          </w:tcPr>
          <w:p w14:paraId="5F76496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r>
      <w:tr w:rsidR="000A7F0B" w:rsidRPr="00483DC7" w14:paraId="1AEACD12" w14:textId="77777777" w:rsidTr="000A7F0B">
        <w:tc>
          <w:tcPr>
            <w:tcW w:w="471" w:type="dxa"/>
            <w:tcBorders>
              <w:top w:val="single" w:sz="4" w:space="0" w:color="auto"/>
              <w:left w:val="single" w:sz="4" w:space="0" w:color="auto"/>
              <w:bottom w:val="single" w:sz="4" w:space="0" w:color="auto"/>
              <w:right w:val="single" w:sz="4" w:space="0" w:color="auto"/>
            </w:tcBorders>
          </w:tcPr>
          <w:p w14:paraId="53AFDE3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1372" w:type="dxa"/>
            <w:tcBorders>
              <w:top w:val="single" w:sz="4" w:space="0" w:color="auto"/>
              <w:left w:val="single" w:sz="4" w:space="0" w:color="auto"/>
              <w:bottom w:val="single" w:sz="4" w:space="0" w:color="auto"/>
              <w:right w:val="single" w:sz="4" w:space="0" w:color="auto"/>
            </w:tcBorders>
            <w:vAlign w:val="center"/>
          </w:tcPr>
          <w:p w14:paraId="1CEBD2B2"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ONDRL</w:t>
            </w:r>
          </w:p>
        </w:tc>
        <w:tc>
          <w:tcPr>
            <w:tcW w:w="1276" w:type="dxa"/>
            <w:tcBorders>
              <w:top w:val="single" w:sz="4" w:space="0" w:color="auto"/>
              <w:left w:val="single" w:sz="4" w:space="0" w:color="auto"/>
              <w:bottom w:val="single" w:sz="4" w:space="0" w:color="auto"/>
              <w:right w:val="single" w:sz="4" w:space="0" w:color="auto"/>
            </w:tcBorders>
            <w:vAlign w:val="center"/>
          </w:tcPr>
          <w:p w14:paraId="1DFEC8C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w:t>
            </w:r>
          </w:p>
        </w:tc>
        <w:tc>
          <w:tcPr>
            <w:tcW w:w="8233" w:type="dxa"/>
            <w:tcBorders>
              <w:top w:val="single" w:sz="4" w:space="0" w:color="auto"/>
              <w:left w:val="single" w:sz="4" w:space="0" w:color="auto"/>
              <w:bottom w:val="single" w:sz="4" w:space="0" w:color="auto"/>
              <w:right w:val="single" w:sz="4" w:space="0" w:color="auto"/>
            </w:tcBorders>
            <w:vAlign w:val="center"/>
          </w:tcPr>
          <w:p w14:paraId="5269A3DB" w14:textId="77777777" w:rsidR="000A7F0B" w:rsidRPr="00483DC7" w:rsidRDefault="000A7F0B" w:rsidP="000A7F0B">
            <w:pPr>
              <w:spacing w:after="0"/>
              <w:jc w:val="both"/>
              <w:rPr>
                <w:rFonts w:ascii="Times New Roman" w:hAnsi="Times New Roman" w:cs="Times New Roman"/>
                <w:b/>
                <w:sz w:val="18"/>
                <w:szCs w:val="18"/>
                <w:lang w:val="ro-MD"/>
              </w:rPr>
            </w:pPr>
            <w:r w:rsidRPr="00483DC7">
              <w:rPr>
                <w:rFonts w:ascii="Times New Roman" w:hAnsi="Times New Roman" w:cs="Times New Roman"/>
                <w:b/>
                <w:sz w:val="18"/>
                <w:szCs w:val="18"/>
                <w:lang w:val="ro-MD"/>
              </w:rPr>
              <w:t>Nu dispune de Organ colegial de supraveghere</w:t>
            </w:r>
          </w:p>
        </w:tc>
        <w:tc>
          <w:tcPr>
            <w:tcW w:w="851" w:type="dxa"/>
            <w:tcBorders>
              <w:top w:val="single" w:sz="4" w:space="0" w:color="auto"/>
              <w:left w:val="single" w:sz="4" w:space="0" w:color="auto"/>
              <w:bottom w:val="single" w:sz="4" w:space="0" w:color="auto"/>
              <w:right w:val="single" w:sz="4" w:space="0" w:color="auto"/>
            </w:tcBorders>
            <w:vAlign w:val="center"/>
          </w:tcPr>
          <w:p w14:paraId="39BFE46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6" w:type="dxa"/>
            <w:tcBorders>
              <w:top w:val="single" w:sz="4" w:space="0" w:color="auto"/>
              <w:left w:val="single" w:sz="4" w:space="0" w:color="auto"/>
              <w:bottom w:val="single" w:sz="4" w:space="0" w:color="auto"/>
              <w:right w:val="single" w:sz="4" w:space="0" w:color="auto"/>
            </w:tcBorders>
            <w:vAlign w:val="center"/>
          </w:tcPr>
          <w:p w14:paraId="11AAD13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2" w:type="dxa"/>
            <w:tcBorders>
              <w:top w:val="single" w:sz="4" w:space="0" w:color="auto"/>
              <w:left w:val="single" w:sz="4" w:space="0" w:color="auto"/>
              <w:bottom w:val="single" w:sz="4" w:space="0" w:color="auto"/>
              <w:right w:val="single" w:sz="4" w:space="0" w:color="auto"/>
            </w:tcBorders>
            <w:vAlign w:val="center"/>
          </w:tcPr>
          <w:p w14:paraId="6129C80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r>
      <w:tr w:rsidR="000A7F0B" w:rsidRPr="00483DC7" w14:paraId="722811A8" w14:textId="77777777" w:rsidTr="000A7F0B">
        <w:tc>
          <w:tcPr>
            <w:tcW w:w="471" w:type="dxa"/>
            <w:tcBorders>
              <w:top w:val="single" w:sz="4" w:space="0" w:color="auto"/>
              <w:left w:val="single" w:sz="4" w:space="0" w:color="auto"/>
              <w:bottom w:val="single" w:sz="4" w:space="0" w:color="auto"/>
              <w:right w:val="single" w:sz="4" w:space="0" w:color="auto"/>
            </w:tcBorders>
          </w:tcPr>
          <w:p w14:paraId="3CC9E4E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4</w:t>
            </w:r>
          </w:p>
        </w:tc>
        <w:tc>
          <w:tcPr>
            <w:tcW w:w="1372" w:type="dxa"/>
            <w:tcBorders>
              <w:top w:val="single" w:sz="4" w:space="0" w:color="auto"/>
              <w:left w:val="single" w:sz="4" w:space="0" w:color="auto"/>
              <w:bottom w:val="single" w:sz="4" w:space="0" w:color="auto"/>
              <w:right w:val="single" w:sz="4" w:space="0" w:color="auto"/>
            </w:tcBorders>
            <w:vAlign w:val="center"/>
          </w:tcPr>
          <w:p w14:paraId="286083E9"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ONIPM</w:t>
            </w:r>
          </w:p>
        </w:tc>
        <w:tc>
          <w:tcPr>
            <w:tcW w:w="1276" w:type="dxa"/>
            <w:tcBorders>
              <w:top w:val="single" w:sz="4" w:space="0" w:color="auto"/>
              <w:left w:val="single" w:sz="4" w:space="0" w:color="auto"/>
              <w:bottom w:val="single" w:sz="4" w:space="0" w:color="auto"/>
              <w:right w:val="single" w:sz="4" w:space="0" w:color="auto"/>
            </w:tcBorders>
            <w:vAlign w:val="center"/>
          </w:tcPr>
          <w:p w14:paraId="19B1486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8233" w:type="dxa"/>
            <w:tcBorders>
              <w:top w:val="single" w:sz="4" w:space="0" w:color="auto"/>
              <w:left w:val="single" w:sz="4" w:space="0" w:color="auto"/>
              <w:bottom w:val="single" w:sz="4" w:space="0" w:color="auto"/>
              <w:right w:val="single" w:sz="4" w:space="0" w:color="auto"/>
            </w:tcBorders>
            <w:vAlign w:val="center"/>
          </w:tcPr>
          <w:p w14:paraId="413276B2"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MM (1 persoană), MF (1 persoană), Agenția mediului (1 persoană), mediul academic (1 persoană), societatea civilă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4800731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10</w:t>
            </w:r>
          </w:p>
        </w:tc>
        <w:tc>
          <w:tcPr>
            <w:tcW w:w="986" w:type="dxa"/>
            <w:tcBorders>
              <w:top w:val="single" w:sz="4" w:space="0" w:color="auto"/>
              <w:left w:val="single" w:sz="4" w:space="0" w:color="auto"/>
              <w:bottom w:val="single" w:sz="4" w:space="0" w:color="auto"/>
              <w:right w:val="single" w:sz="4" w:space="0" w:color="auto"/>
            </w:tcBorders>
            <w:vAlign w:val="center"/>
          </w:tcPr>
          <w:p w14:paraId="544D015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982" w:type="dxa"/>
            <w:tcBorders>
              <w:top w:val="single" w:sz="4" w:space="0" w:color="auto"/>
              <w:left w:val="single" w:sz="4" w:space="0" w:color="auto"/>
              <w:bottom w:val="single" w:sz="4" w:space="0" w:color="auto"/>
              <w:right w:val="single" w:sz="4" w:space="0" w:color="auto"/>
            </w:tcBorders>
            <w:vAlign w:val="center"/>
          </w:tcPr>
          <w:p w14:paraId="29385BD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8</w:t>
            </w:r>
          </w:p>
        </w:tc>
      </w:tr>
      <w:tr w:rsidR="000A7F0B" w:rsidRPr="00483DC7" w14:paraId="63580E2B" w14:textId="77777777" w:rsidTr="000A7F0B">
        <w:tc>
          <w:tcPr>
            <w:tcW w:w="471" w:type="dxa"/>
            <w:tcBorders>
              <w:top w:val="single" w:sz="4" w:space="0" w:color="auto"/>
              <w:left w:val="single" w:sz="4" w:space="0" w:color="auto"/>
              <w:bottom w:val="single" w:sz="4" w:space="0" w:color="auto"/>
              <w:right w:val="single" w:sz="4" w:space="0" w:color="auto"/>
            </w:tcBorders>
          </w:tcPr>
          <w:p w14:paraId="063A4FF9"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1372" w:type="dxa"/>
            <w:tcBorders>
              <w:top w:val="single" w:sz="4" w:space="0" w:color="auto"/>
              <w:left w:val="single" w:sz="4" w:space="0" w:color="auto"/>
              <w:bottom w:val="single" w:sz="4" w:space="0" w:color="auto"/>
              <w:right w:val="single" w:sz="4" w:space="0" w:color="auto"/>
            </w:tcBorders>
            <w:vAlign w:val="center"/>
          </w:tcPr>
          <w:p w14:paraId="061AB357"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UCIMPA</w:t>
            </w:r>
          </w:p>
        </w:tc>
        <w:tc>
          <w:tcPr>
            <w:tcW w:w="1276" w:type="dxa"/>
            <w:tcBorders>
              <w:top w:val="single" w:sz="4" w:space="0" w:color="auto"/>
              <w:left w:val="single" w:sz="4" w:space="0" w:color="auto"/>
              <w:bottom w:val="single" w:sz="4" w:space="0" w:color="auto"/>
              <w:right w:val="single" w:sz="4" w:space="0" w:color="auto"/>
            </w:tcBorders>
            <w:vAlign w:val="center"/>
          </w:tcPr>
          <w:p w14:paraId="495EC6B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7</w:t>
            </w:r>
          </w:p>
        </w:tc>
        <w:tc>
          <w:tcPr>
            <w:tcW w:w="8233" w:type="dxa"/>
            <w:tcBorders>
              <w:top w:val="single" w:sz="4" w:space="0" w:color="auto"/>
              <w:left w:val="single" w:sz="4" w:space="0" w:color="auto"/>
              <w:bottom w:val="single" w:sz="4" w:space="0" w:color="auto"/>
              <w:right w:val="single" w:sz="4" w:space="0" w:color="auto"/>
            </w:tcBorders>
            <w:vAlign w:val="center"/>
          </w:tcPr>
          <w:p w14:paraId="53F9C6C6" w14:textId="407DDA6F" w:rsidR="000A7F0B" w:rsidRPr="00483DC7" w:rsidRDefault="000A7F0B" w:rsidP="00C624F9">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 xml:space="preserve">MAIA (2 persoane), MF (1 persoană), MDED (1 persoană), BNM (1 persoană), Cancelaria de </w:t>
            </w:r>
            <w:r w:rsidR="00C624F9">
              <w:rPr>
                <w:rFonts w:ascii="Times New Roman" w:hAnsi="Times New Roman" w:cs="Times New Roman"/>
                <w:sz w:val="18"/>
                <w:szCs w:val="18"/>
                <w:lang w:val="ro-MD"/>
              </w:rPr>
              <w:t>S</w:t>
            </w:r>
            <w:r w:rsidRPr="00483DC7">
              <w:rPr>
                <w:rFonts w:ascii="Times New Roman" w:hAnsi="Times New Roman" w:cs="Times New Roman"/>
                <w:sz w:val="18"/>
                <w:szCs w:val="18"/>
                <w:lang w:val="ro-MD"/>
              </w:rPr>
              <w:t>tat (1 persoană), Asociația de Profil a producătorilor agricoli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304B7C89"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86" w:type="dxa"/>
            <w:tcBorders>
              <w:top w:val="single" w:sz="4" w:space="0" w:color="auto"/>
              <w:left w:val="single" w:sz="4" w:space="0" w:color="auto"/>
              <w:bottom w:val="single" w:sz="4" w:space="0" w:color="auto"/>
              <w:right w:val="single" w:sz="4" w:space="0" w:color="auto"/>
            </w:tcBorders>
            <w:vAlign w:val="center"/>
          </w:tcPr>
          <w:p w14:paraId="5AF56F1B"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82" w:type="dxa"/>
            <w:tcBorders>
              <w:top w:val="single" w:sz="4" w:space="0" w:color="auto"/>
              <w:left w:val="single" w:sz="4" w:space="0" w:color="auto"/>
              <w:bottom w:val="single" w:sz="4" w:space="0" w:color="auto"/>
              <w:right w:val="single" w:sz="4" w:space="0" w:color="auto"/>
            </w:tcBorders>
            <w:vAlign w:val="center"/>
          </w:tcPr>
          <w:p w14:paraId="14B448C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r>
      <w:tr w:rsidR="000A7F0B" w:rsidRPr="00483DC7" w14:paraId="4AFB47F2" w14:textId="77777777" w:rsidTr="000A7F0B">
        <w:tc>
          <w:tcPr>
            <w:tcW w:w="471" w:type="dxa"/>
            <w:tcBorders>
              <w:top w:val="single" w:sz="4" w:space="0" w:color="auto"/>
              <w:left w:val="single" w:sz="4" w:space="0" w:color="auto"/>
              <w:bottom w:val="single" w:sz="4" w:space="0" w:color="auto"/>
              <w:right w:val="single" w:sz="4" w:space="0" w:color="auto"/>
            </w:tcBorders>
          </w:tcPr>
          <w:p w14:paraId="442483B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6</w:t>
            </w:r>
          </w:p>
        </w:tc>
        <w:tc>
          <w:tcPr>
            <w:tcW w:w="1372" w:type="dxa"/>
            <w:tcBorders>
              <w:top w:val="single" w:sz="4" w:space="0" w:color="auto"/>
              <w:left w:val="single" w:sz="4" w:space="0" w:color="auto"/>
              <w:bottom w:val="single" w:sz="4" w:space="0" w:color="auto"/>
              <w:right w:val="single" w:sz="4" w:space="0" w:color="auto"/>
            </w:tcBorders>
            <w:vAlign w:val="center"/>
          </w:tcPr>
          <w:p w14:paraId="47DD6270"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UCIMP DS</w:t>
            </w:r>
          </w:p>
        </w:tc>
        <w:tc>
          <w:tcPr>
            <w:tcW w:w="1276" w:type="dxa"/>
            <w:tcBorders>
              <w:top w:val="single" w:sz="4" w:space="0" w:color="auto"/>
              <w:left w:val="single" w:sz="4" w:space="0" w:color="auto"/>
              <w:bottom w:val="single" w:sz="4" w:space="0" w:color="auto"/>
              <w:right w:val="single" w:sz="4" w:space="0" w:color="auto"/>
            </w:tcBorders>
            <w:vAlign w:val="center"/>
          </w:tcPr>
          <w:p w14:paraId="1316388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7</w:t>
            </w:r>
          </w:p>
        </w:tc>
        <w:tc>
          <w:tcPr>
            <w:tcW w:w="8233" w:type="dxa"/>
            <w:tcBorders>
              <w:top w:val="single" w:sz="4" w:space="0" w:color="auto"/>
              <w:left w:val="single" w:sz="4" w:space="0" w:color="auto"/>
              <w:bottom w:val="single" w:sz="4" w:space="0" w:color="auto"/>
              <w:right w:val="single" w:sz="4" w:space="0" w:color="auto"/>
            </w:tcBorders>
            <w:vAlign w:val="center"/>
          </w:tcPr>
          <w:p w14:paraId="56847F91"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MS (3 persoane), MF (1 persoană), MDED (1 persoană), OMS Moldova (1 persoană), Asociația nonguvernamentală din domeniu sănătății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341ED1A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86" w:type="dxa"/>
            <w:tcBorders>
              <w:top w:val="single" w:sz="4" w:space="0" w:color="auto"/>
              <w:left w:val="single" w:sz="4" w:space="0" w:color="auto"/>
              <w:bottom w:val="single" w:sz="4" w:space="0" w:color="auto"/>
              <w:right w:val="single" w:sz="4" w:space="0" w:color="auto"/>
            </w:tcBorders>
            <w:vAlign w:val="center"/>
          </w:tcPr>
          <w:p w14:paraId="1D5E477E"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2" w:type="dxa"/>
            <w:tcBorders>
              <w:top w:val="single" w:sz="4" w:space="0" w:color="auto"/>
              <w:left w:val="single" w:sz="4" w:space="0" w:color="auto"/>
              <w:bottom w:val="single" w:sz="4" w:space="0" w:color="auto"/>
              <w:right w:val="single" w:sz="4" w:space="0" w:color="auto"/>
            </w:tcBorders>
            <w:vAlign w:val="center"/>
          </w:tcPr>
          <w:p w14:paraId="44E9735B"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18DE2DA8" w14:textId="77777777" w:rsidTr="000A7F0B">
        <w:tc>
          <w:tcPr>
            <w:tcW w:w="471" w:type="dxa"/>
            <w:tcBorders>
              <w:top w:val="single" w:sz="4" w:space="0" w:color="auto"/>
              <w:left w:val="single" w:sz="4" w:space="0" w:color="auto"/>
              <w:bottom w:val="single" w:sz="4" w:space="0" w:color="auto"/>
              <w:right w:val="single" w:sz="4" w:space="0" w:color="auto"/>
            </w:tcBorders>
          </w:tcPr>
          <w:p w14:paraId="2503D93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7</w:t>
            </w:r>
          </w:p>
        </w:tc>
        <w:tc>
          <w:tcPr>
            <w:tcW w:w="1372" w:type="dxa"/>
            <w:tcBorders>
              <w:top w:val="single" w:sz="4" w:space="0" w:color="auto"/>
              <w:left w:val="single" w:sz="4" w:space="0" w:color="auto"/>
              <w:bottom w:val="single" w:sz="4" w:space="0" w:color="auto"/>
              <w:right w:val="single" w:sz="4" w:space="0" w:color="auto"/>
            </w:tcBorders>
            <w:vAlign w:val="center"/>
          </w:tcPr>
          <w:p w14:paraId="1FB2008F"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UCIMPRSVV</w:t>
            </w:r>
          </w:p>
        </w:tc>
        <w:tc>
          <w:tcPr>
            <w:tcW w:w="1276" w:type="dxa"/>
            <w:tcBorders>
              <w:top w:val="single" w:sz="4" w:space="0" w:color="auto"/>
              <w:left w:val="single" w:sz="4" w:space="0" w:color="auto"/>
              <w:bottom w:val="single" w:sz="4" w:space="0" w:color="auto"/>
              <w:right w:val="single" w:sz="4" w:space="0" w:color="auto"/>
            </w:tcBorders>
            <w:vAlign w:val="center"/>
          </w:tcPr>
          <w:p w14:paraId="0ACC2A0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9</w:t>
            </w:r>
          </w:p>
        </w:tc>
        <w:tc>
          <w:tcPr>
            <w:tcW w:w="8233" w:type="dxa"/>
            <w:tcBorders>
              <w:top w:val="single" w:sz="4" w:space="0" w:color="auto"/>
              <w:left w:val="single" w:sz="4" w:space="0" w:color="auto"/>
              <w:bottom w:val="single" w:sz="4" w:space="0" w:color="auto"/>
              <w:right w:val="single" w:sz="4" w:space="0" w:color="auto"/>
            </w:tcBorders>
            <w:vAlign w:val="center"/>
          </w:tcPr>
          <w:p w14:paraId="5575B565"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 xml:space="preserve">MAIA (3 persoane), Parlament (1 persoană), Guvern (1 persoană), MDED (1 persoană), </w:t>
            </w:r>
          </w:p>
          <w:p w14:paraId="1FBCD5E2"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MF (1 persoană), BNM (1 persoană), Asociația de Profil a producătorilor agricoli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2A66120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86" w:type="dxa"/>
            <w:tcBorders>
              <w:top w:val="single" w:sz="4" w:space="0" w:color="auto"/>
              <w:left w:val="single" w:sz="4" w:space="0" w:color="auto"/>
              <w:bottom w:val="single" w:sz="4" w:space="0" w:color="auto"/>
              <w:right w:val="single" w:sz="4" w:space="0" w:color="auto"/>
            </w:tcBorders>
            <w:vAlign w:val="center"/>
          </w:tcPr>
          <w:p w14:paraId="28CF331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82" w:type="dxa"/>
            <w:tcBorders>
              <w:top w:val="single" w:sz="4" w:space="0" w:color="auto"/>
              <w:left w:val="single" w:sz="4" w:space="0" w:color="auto"/>
              <w:bottom w:val="single" w:sz="4" w:space="0" w:color="auto"/>
              <w:right w:val="single" w:sz="4" w:space="0" w:color="auto"/>
            </w:tcBorders>
            <w:vAlign w:val="center"/>
          </w:tcPr>
          <w:p w14:paraId="2FE9012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r>
      <w:tr w:rsidR="000A7F0B" w:rsidRPr="00483DC7" w14:paraId="3EBF71E3" w14:textId="77777777" w:rsidTr="000A7F0B">
        <w:tc>
          <w:tcPr>
            <w:tcW w:w="471" w:type="dxa"/>
            <w:tcBorders>
              <w:top w:val="single" w:sz="4" w:space="0" w:color="auto"/>
              <w:left w:val="single" w:sz="4" w:space="0" w:color="auto"/>
              <w:bottom w:val="single" w:sz="4" w:space="0" w:color="auto"/>
              <w:right w:val="single" w:sz="4" w:space="0" w:color="auto"/>
            </w:tcBorders>
          </w:tcPr>
          <w:p w14:paraId="1E8A3C8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8</w:t>
            </w:r>
          </w:p>
        </w:tc>
        <w:tc>
          <w:tcPr>
            <w:tcW w:w="1372" w:type="dxa"/>
            <w:tcBorders>
              <w:top w:val="single" w:sz="4" w:space="0" w:color="auto"/>
              <w:left w:val="single" w:sz="4" w:space="0" w:color="auto"/>
              <w:bottom w:val="single" w:sz="4" w:space="0" w:color="auto"/>
              <w:right w:val="single" w:sz="4" w:space="0" w:color="auto"/>
            </w:tcBorders>
            <w:vAlign w:val="center"/>
          </w:tcPr>
          <w:p w14:paraId="383FFCBA"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UCIPE</w:t>
            </w:r>
          </w:p>
        </w:tc>
        <w:tc>
          <w:tcPr>
            <w:tcW w:w="1276" w:type="dxa"/>
            <w:tcBorders>
              <w:top w:val="single" w:sz="4" w:space="0" w:color="auto"/>
              <w:left w:val="single" w:sz="4" w:space="0" w:color="auto"/>
              <w:bottom w:val="single" w:sz="4" w:space="0" w:color="auto"/>
              <w:right w:val="single" w:sz="4" w:space="0" w:color="auto"/>
            </w:tcBorders>
            <w:vAlign w:val="center"/>
          </w:tcPr>
          <w:p w14:paraId="09CF399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8</w:t>
            </w:r>
          </w:p>
        </w:tc>
        <w:tc>
          <w:tcPr>
            <w:tcW w:w="8233" w:type="dxa"/>
            <w:tcBorders>
              <w:top w:val="single" w:sz="4" w:space="0" w:color="auto"/>
              <w:left w:val="single" w:sz="4" w:space="0" w:color="auto"/>
              <w:bottom w:val="single" w:sz="4" w:space="0" w:color="auto"/>
              <w:right w:val="single" w:sz="4" w:space="0" w:color="auto"/>
            </w:tcBorders>
            <w:vAlign w:val="center"/>
          </w:tcPr>
          <w:p w14:paraId="6DE0733F"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ME (2 persoane), MF (1 persoană) MIDR (1 persoană), MM (1 persoană), Guvern (1 persoană), Cancelaria de Stat (1 persoană), Agenția pentru Eficiență Energetică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56B2369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86" w:type="dxa"/>
            <w:tcBorders>
              <w:top w:val="single" w:sz="4" w:space="0" w:color="auto"/>
              <w:left w:val="single" w:sz="4" w:space="0" w:color="auto"/>
              <w:bottom w:val="single" w:sz="4" w:space="0" w:color="auto"/>
              <w:right w:val="single" w:sz="4" w:space="0" w:color="auto"/>
            </w:tcBorders>
            <w:vAlign w:val="center"/>
          </w:tcPr>
          <w:p w14:paraId="0DE51EB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2" w:type="dxa"/>
            <w:tcBorders>
              <w:top w:val="single" w:sz="4" w:space="0" w:color="auto"/>
              <w:left w:val="single" w:sz="4" w:space="0" w:color="auto"/>
              <w:bottom w:val="single" w:sz="4" w:space="0" w:color="auto"/>
              <w:right w:val="single" w:sz="4" w:space="0" w:color="auto"/>
            </w:tcBorders>
            <w:vAlign w:val="center"/>
          </w:tcPr>
          <w:p w14:paraId="29D72BFE"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2DC740B9" w14:textId="77777777" w:rsidTr="000A7F0B">
        <w:tc>
          <w:tcPr>
            <w:tcW w:w="471" w:type="dxa"/>
            <w:tcBorders>
              <w:top w:val="single" w:sz="4" w:space="0" w:color="auto"/>
              <w:left w:val="single" w:sz="4" w:space="0" w:color="auto"/>
              <w:bottom w:val="single" w:sz="4" w:space="0" w:color="auto"/>
              <w:right w:val="single" w:sz="4" w:space="0" w:color="auto"/>
            </w:tcBorders>
          </w:tcPr>
          <w:p w14:paraId="5180D74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9</w:t>
            </w:r>
          </w:p>
        </w:tc>
        <w:tc>
          <w:tcPr>
            <w:tcW w:w="1372" w:type="dxa"/>
            <w:tcBorders>
              <w:top w:val="single" w:sz="4" w:space="0" w:color="auto"/>
              <w:left w:val="single" w:sz="4" w:space="0" w:color="auto"/>
              <w:bottom w:val="single" w:sz="4" w:space="0" w:color="auto"/>
              <w:right w:val="single" w:sz="4" w:space="0" w:color="auto"/>
            </w:tcBorders>
            <w:vAlign w:val="center"/>
          </w:tcPr>
          <w:p w14:paraId="56D06389"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UCIP IFAD</w:t>
            </w:r>
          </w:p>
        </w:tc>
        <w:tc>
          <w:tcPr>
            <w:tcW w:w="1276" w:type="dxa"/>
            <w:tcBorders>
              <w:top w:val="single" w:sz="4" w:space="0" w:color="auto"/>
              <w:left w:val="single" w:sz="4" w:space="0" w:color="auto"/>
              <w:bottom w:val="single" w:sz="4" w:space="0" w:color="auto"/>
              <w:right w:val="single" w:sz="4" w:space="0" w:color="auto"/>
            </w:tcBorders>
            <w:vAlign w:val="center"/>
          </w:tcPr>
          <w:p w14:paraId="1387725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8233" w:type="dxa"/>
            <w:tcBorders>
              <w:top w:val="single" w:sz="4" w:space="0" w:color="auto"/>
              <w:left w:val="single" w:sz="4" w:space="0" w:color="auto"/>
              <w:bottom w:val="single" w:sz="4" w:space="0" w:color="auto"/>
              <w:right w:val="single" w:sz="4" w:space="0" w:color="auto"/>
            </w:tcBorders>
            <w:vAlign w:val="center"/>
          </w:tcPr>
          <w:p w14:paraId="4E391DFC"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MAIA (1 persoană), Parlament (1 persoană), MF (1 persoană), Cancelaria de Stat (1 persoană), Organizație necomercială din domeniul agricol sau dezvoltării rurale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00402BD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986" w:type="dxa"/>
            <w:tcBorders>
              <w:top w:val="single" w:sz="4" w:space="0" w:color="auto"/>
              <w:left w:val="single" w:sz="4" w:space="0" w:color="auto"/>
              <w:bottom w:val="single" w:sz="4" w:space="0" w:color="auto"/>
              <w:right w:val="single" w:sz="4" w:space="0" w:color="auto"/>
            </w:tcBorders>
            <w:vAlign w:val="center"/>
          </w:tcPr>
          <w:p w14:paraId="38DF4C3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82" w:type="dxa"/>
            <w:tcBorders>
              <w:top w:val="single" w:sz="4" w:space="0" w:color="auto"/>
              <w:left w:val="single" w:sz="4" w:space="0" w:color="auto"/>
              <w:bottom w:val="single" w:sz="4" w:space="0" w:color="auto"/>
              <w:right w:val="single" w:sz="4" w:space="0" w:color="auto"/>
            </w:tcBorders>
            <w:vAlign w:val="center"/>
          </w:tcPr>
          <w:p w14:paraId="697AF99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r>
      <w:tr w:rsidR="000A7F0B" w:rsidRPr="00483DC7" w14:paraId="2CE45201" w14:textId="77777777" w:rsidTr="000A7F0B">
        <w:tc>
          <w:tcPr>
            <w:tcW w:w="471" w:type="dxa"/>
            <w:tcBorders>
              <w:top w:val="single" w:sz="4" w:space="0" w:color="auto"/>
              <w:left w:val="single" w:sz="4" w:space="0" w:color="auto"/>
              <w:bottom w:val="single" w:sz="4" w:space="0" w:color="auto"/>
              <w:right w:val="single" w:sz="4" w:space="0" w:color="auto"/>
            </w:tcBorders>
          </w:tcPr>
          <w:p w14:paraId="500ACBA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10</w:t>
            </w:r>
          </w:p>
        </w:tc>
        <w:tc>
          <w:tcPr>
            <w:tcW w:w="1372" w:type="dxa"/>
            <w:tcBorders>
              <w:top w:val="single" w:sz="4" w:space="0" w:color="auto"/>
              <w:left w:val="single" w:sz="4" w:space="0" w:color="auto"/>
              <w:bottom w:val="single" w:sz="4" w:space="0" w:color="auto"/>
              <w:right w:val="single" w:sz="4" w:space="0" w:color="auto"/>
            </w:tcBorders>
            <w:vAlign w:val="center"/>
          </w:tcPr>
          <w:p w14:paraId="4932B1D6"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UIPAC</w:t>
            </w:r>
          </w:p>
        </w:tc>
        <w:tc>
          <w:tcPr>
            <w:tcW w:w="1276" w:type="dxa"/>
            <w:tcBorders>
              <w:top w:val="single" w:sz="4" w:space="0" w:color="auto"/>
              <w:left w:val="single" w:sz="4" w:space="0" w:color="auto"/>
              <w:bottom w:val="single" w:sz="4" w:space="0" w:color="auto"/>
              <w:right w:val="single" w:sz="4" w:space="0" w:color="auto"/>
            </w:tcBorders>
            <w:vAlign w:val="center"/>
          </w:tcPr>
          <w:p w14:paraId="38DD2A1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9</w:t>
            </w:r>
          </w:p>
        </w:tc>
        <w:tc>
          <w:tcPr>
            <w:tcW w:w="8233" w:type="dxa"/>
            <w:tcBorders>
              <w:top w:val="single" w:sz="4" w:space="0" w:color="auto"/>
              <w:left w:val="single" w:sz="4" w:space="0" w:color="auto"/>
              <w:bottom w:val="single" w:sz="4" w:space="0" w:color="auto"/>
              <w:right w:val="single" w:sz="4" w:space="0" w:color="auto"/>
            </w:tcBorders>
            <w:vAlign w:val="center"/>
          </w:tcPr>
          <w:p w14:paraId="17A5B6C3"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MDED (2 persoane), Parlament (1 persoană), Guvern (1 persoană), MF (1 persoană), ASEM (1 persoană), Institutul Național de Metrologie (1 persoană), IP Centrul Național de Acreditare din Republica Moldova - MOLDAC (1 persoană), IP ODA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4B6125F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86" w:type="dxa"/>
            <w:tcBorders>
              <w:top w:val="single" w:sz="4" w:space="0" w:color="auto"/>
              <w:left w:val="single" w:sz="4" w:space="0" w:color="auto"/>
              <w:bottom w:val="single" w:sz="4" w:space="0" w:color="auto"/>
              <w:right w:val="single" w:sz="4" w:space="0" w:color="auto"/>
            </w:tcBorders>
            <w:vAlign w:val="center"/>
          </w:tcPr>
          <w:p w14:paraId="68FA476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982" w:type="dxa"/>
            <w:tcBorders>
              <w:top w:val="single" w:sz="4" w:space="0" w:color="auto"/>
              <w:left w:val="single" w:sz="4" w:space="0" w:color="auto"/>
              <w:bottom w:val="single" w:sz="4" w:space="0" w:color="auto"/>
              <w:right w:val="single" w:sz="4" w:space="0" w:color="auto"/>
            </w:tcBorders>
            <w:vAlign w:val="center"/>
          </w:tcPr>
          <w:p w14:paraId="6491152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5550BA22" w14:textId="77777777" w:rsidTr="000A7F0B">
        <w:tc>
          <w:tcPr>
            <w:tcW w:w="471" w:type="dxa"/>
            <w:tcBorders>
              <w:top w:val="single" w:sz="4" w:space="0" w:color="auto"/>
              <w:left w:val="single" w:sz="4" w:space="0" w:color="auto"/>
              <w:bottom w:val="single" w:sz="4" w:space="0" w:color="auto"/>
              <w:right w:val="single" w:sz="4" w:space="0" w:color="auto"/>
            </w:tcBorders>
          </w:tcPr>
          <w:p w14:paraId="4E2AC0F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11</w:t>
            </w:r>
          </w:p>
        </w:tc>
        <w:tc>
          <w:tcPr>
            <w:tcW w:w="1372" w:type="dxa"/>
            <w:tcBorders>
              <w:top w:val="single" w:sz="4" w:space="0" w:color="auto"/>
              <w:left w:val="single" w:sz="4" w:space="0" w:color="auto"/>
              <w:bottom w:val="single" w:sz="4" w:space="0" w:color="auto"/>
              <w:right w:val="single" w:sz="4" w:space="0" w:color="auto"/>
            </w:tcBorders>
            <w:vAlign w:val="center"/>
          </w:tcPr>
          <w:p w14:paraId="593A6E78"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UIPCLPSV II</w:t>
            </w:r>
          </w:p>
        </w:tc>
        <w:tc>
          <w:tcPr>
            <w:tcW w:w="1276" w:type="dxa"/>
            <w:tcBorders>
              <w:top w:val="single" w:sz="4" w:space="0" w:color="auto"/>
              <w:left w:val="single" w:sz="4" w:space="0" w:color="auto"/>
              <w:bottom w:val="single" w:sz="4" w:space="0" w:color="auto"/>
              <w:right w:val="single" w:sz="4" w:space="0" w:color="auto"/>
            </w:tcBorders>
            <w:vAlign w:val="center"/>
          </w:tcPr>
          <w:p w14:paraId="31ACD32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5</w:t>
            </w:r>
          </w:p>
        </w:tc>
        <w:tc>
          <w:tcPr>
            <w:tcW w:w="8233" w:type="dxa"/>
            <w:tcBorders>
              <w:top w:val="single" w:sz="4" w:space="0" w:color="auto"/>
              <w:left w:val="single" w:sz="4" w:space="0" w:color="auto"/>
              <w:bottom w:val="single" w:sz="4" w:space="0" w:color="auto"/>
              <w:right w:val="single" w:sz="4" w:space="0" w:color="auto"/>
            </w:tcBorders>
            <w:vAlign w:val="center"/>
          </w:tcPr>
          <w:p w14:paraId="4E2D45AD"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b/>
                <w:color w:val="FF0000"/>
                <w:sz w:val="18"/>
                <w:szCs w:val="18"/>
                <w:lang w:val="ro-MD"/>
              </w:rPr>
              <w:t>MADR (1 persoană)</w:t>
            </w:r>
            <w:r w:rsidRPr="00483DC7">
              <w:rPr>
                <w:rFonts w:ascii="Times New Roman" w:hAnsi="Times New Roman" w:cs="Times New Roman"/>
                <w:sz w:val="18"/>
                <w:szCs w:val="18"/>
                <w:lang w:val="ro-MD"/>
              </w:rPr>
              <w:t xml:space="preserve">, MF (1 persoană), </w:t>
            </w:r>
            <w:r w:rsidRPr="00483DC7">
              <w:rPr>
                <w:rFonts w:ascii="Times New Roman" w:hAnsi="Times New Roman" w:cs="Times New Roman"/>
                <w:b/>
                <w:color w:val="FF0000"/>
                <w:sz w:val="18"/>
                <w:szCs w:val="18"/>
                <w:lang w:val="ro-MD"/>
              </w:rPr>
              <w:t>MEI (1 persoană)</w:t>
            </w:r>
            <w:r w:rsidRPr="00483DC7">
              <w:rPr>
                <w:rFonts w:ascii="Times New Roman" w:hAnsi="Times New Roman" w:cs="Times New Roman"/>
                <w:sz w:val="18"/>
                <w:szCs w:val="18"/>
                <w:lang w:val="ro-MD"/>
              </w:rPr>
              <w:t>, Cancelaria de Stat (1 persoană), Președinți de raioane sau primarii orașelor, beneficiari ai proiectului (în funcție de finanțator)</w:t>
            </w:r>
          </w:p>
        </w:tc>
        <w:tc>
          <w:tcPr>
            <w:tcW w:w="851" w:type="dxa"/>
            <w:tcBorders>
              <w:top w:val="single" w:sz="4" w:space="0" w:color="auto"/>
              <w:left w:val="single" w:sz="4" w:space="0" w:color="auto"/>
              <w:bottom w:val="single" w:sz="4" w:space="0" w:color="auto"/>
              <w:right w:val="single" w:sz="4" w:space="0" w:color="auto"/>
            </w:tcBorders>
            <w:vAlign w:val="center"/>
          </w:tcPr>
          <w:p w14:paraId="39D6D4C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6" w:type="dxa"/>
            <w:tcBorders>
              <w:top w:val="single" w:sz="4" w:space="0" w:color="auto"/>
              <w:left w:val="single" w:sz="4" w:space="0" w:color="auto"/>
              <w:bottom w:val="single" w:sz="4" w:space="0" w:color="auto"/>
              <w:right w:val="single" w:sz="4" w:space="0" w:color="auto"/>
            </w:tcBorders>
            <w:vAlign w:val="center"/>
          </w:tcPr>
          <w:p w14:paraId="01AD31A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c>
          <w:tcPr>
            <w:tcW w:w="982" w:type="dxa"/>
            <w:tcBorders>
              <w:top w:val="single" w:sz="4" w:space="0" w:color="auto"/>
              <w:left w:val="single" w:sz="4" w:space="0" w:color="auto"/>
              <w:bottom w:val="single" w:sz="4" w:space="0" w:color="auto"/>
              <w:right w:val="single" w:sz="4" w:space="0" w:color="auto"/>
            </w:tcBorders>
            <w:vAlign w:val="center"/>
          </w:tcPr>
          <w:p w14:paraId="6C56B45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0</w:t>
            </w:r>
          </w:p>
        </w:tc>
      </w:tr>
      <w:tr w:rsidR="000A7F0B" w:rsidRPr="00483DC7" w14:paraId="5D1B2353" w14:textId="77777777" w:rsidTr="000A7F0B">
        <w:tc>
          <w:tcPr>
            <w:tcW w:w="471" w:type="dxa"/>
            <w:tcBorders>
              <w:top w:val="single" w:sz="4" w:space="0" w:color="auto"/>
              <w:left w:val="single" w:sz="4" w:space="0" w:color="auto"/>
              <w:bottom w:val="single" w:sz="4" w:space="0" w:color="auto"/>
              <w:right w:val="single" w:sz="4" w:space="0" w:color="auto"/>
            </w:tcBorders>
          </w:tcPr>
          <w:p w14:paraId="15017D0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12</w:t>
            </w:r>
          </w:p>
        </w:tc>
        <w:tc>
          <w:tcPr>
            <w:tcW w:w="1372" w:type="dxa"/>
            <w:tcBorders>
              <w:top w:val="single" w:sz="4" w:space="0" w:color="auto"/>
              <w:left w:val="single" w:sz="4" w:space="0" w:color="auto"/>
              <w:bottom w:val="single" w:sz="4" w:space="0" w:color="auto"/>
              <w:right w:val="single" w:sz="4" w:space="0" w:color="auto"/>
            </w:tcBorders>
            <w:vAlign w:val="center"/>
          </w:tcPr>
          <w:p w14:paraId="752529E3" w14:textId="77777777" w:rsidR="000A7F0B" w:rsidRPr="00483DC7" w:rsidRDefault="000A7F0B" w:rsidP="000A7F0B">
            <w:pPr>
              <w:spacing w:after="0"/>
              <w:rPr>
                <w:rFonts w:ascii="Times New Roman" w:hAnsi="Times New Roman" w:cs="Times New Roman"/>
                <w:sz w:val="18"/>
                <w:szCs w:val="18"/>
                <w:lang w:val="ro-MD"/>
              </w:rPr>
            </w:pPr>
            <w:r w:rsidRPr="00483DC7">
              <w:rPr>
                <w:rFonts w:ascii="Times New Roman" w:hAnsi="Times New Roman" w:cs="Times New Roman"/>
                <w:color w:val="000000" w:themeColor="text1"/>
                <w:sz w:val="18"/>
                <w:szCs w:val="18"/>
                <w:lang w:val="ro-MD"/>
              </w:rPr>
              <w:t>UIPCPC</w:t>
            </w:r>
          </w:p>
        </w:tc>
        <w:tc>
          <w:tcPr>
            <w:tcW w:w="1276" w:type="dxa"/>
            <w:tcBorders>
              <w:top w:val="single" w:sz="4" w:space="0" w:color="auto"/>
              <w:left w:val="single" w:sz="4" w:space="0" w:color="auto"/>
              <w:bottom w:val="single" w:sz="4" w:space="0" w:color="auto"/>
              <w:right w:val="single" w:sz="4" w:space="0" w:color="auto"/>
            </w:tcBorders>
            <w:vAlign w:val="center"/>
          </w:tcPr>
          <w:p w14:paraId="2DC4CED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8233" w:type="dxa"/>
            <w:tcBorders>
              <w:top w:val="single" w:sz="4" w:space="0" w:color="auto"/>
              <w:left w:val="single" w:sz="4" w:space="0" w:color="auto"/>
              <w:bottom w:val="single" w:sz="4" w:space="0" w:color="auto"/>
              <w:right w:val="single" w:sz="4" w:space="0" w:color="auto"/>
            </w:tcBorders>
            <w:vAlign w:val="center"/>
          </w:tcPr>
          <w:p w14:paraId="7240052A" w14:textId="77777777" w:rsidR="000A7F0B" w:rsidRPr="00483DC7" w:rsidRDefault="000A7F0B" w:rsidP="000A7F0B">
            <w:pPr>
              <w:spacing w:after="0"/>
              <w:jc w:val="both"/>
              <w:rPr>
                <w:rFonts w:ascii="Times New Roman" w:hAnsi="Times New Roman" w:cs="Times New Roman"/>
                <w:sz w:val="18"/>
                <w:szCs w:val="18"/>
                <w:lang w:val="ro-MD"/>
              </w:rPr>
            </w:pPr>
            <w:r w:rsidRPr="00483DC7">
              <w:rPr>
                <w:rFonts w:ascii="Times New Roman" w:hAnsi="Times New Roman" w:cs="Times New Roman"/>
                <w:sz w:val="18"/>
                <w:szCs w:val="18"/>
                <w:lang w:val="ro-MD"/>
              </w:rPr>
              <w:t>MJ (1 persoană), MF (1 persoană), Administrația Națională a Penitenciarelor (1 persoană)</w:t>
            </w:r>
          </w:p>
        </w:tc>
        <w:tc>
          <w:tcPr>
            <w:tcW w:w="851" w:type="dxa"/>
            <w:tcBorders>
              <w:top w:val="single" w:sz="4" w:space="0" w:color="auto"/>
              <w:left w:val="single" w:sz="4" w:space="0" w:color="auto"/>
              <w:bottom w:val="single" w:sz="4" w:space="0" w:color="auto"/>
              <w:right w:val="single" w:sz="4" w:space="0" w:color="auto"/>
            </w:tcBorders>
            <w:vAlign w:val="center"/>
          </w:tcPr>
          <w:p w14:paraId="1D130E2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6</w:t>
            </w:r>
          </w:p>
        </w:tc>
        <w:tc>
          <w:tcPr>
            <w:tcW w:w="986" w:type="dxa"/>
            <w:tcBorders>
              <w:top w:val="single" w:sz="4" w:space="0" w:color="auto"/>
              <w:left w:val="single" w:sz="4" w:space="0" w:color="auto"/>
              <w:bottom w:val="single" w:sz="4" w:space="0" w:color="auto"/>
              <w:right w:val="single" w:sz="4" w:space="0" w:color="auto"/>
            </w:tcBorders>
            <w:vAlign w:val="center"/>
          </w:tcPr>
          <w:p w14:paraId="7F12A53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82" w:type="dxa"/>
            <w:tcBorders>
              <w:top w:val="single" w:sz="4" w:space="0" w:color="auto"/>
              <w:left w:val="single" w:sz="4" w:space="0" w:color="auto"/>
              <w:bottom w:val="single" w:sz="4" w:space="0" w:color="auto"/>
              <w:right w:val="single" w:sz="4" w:space="0" w:color="auto"/>
            </w:tcBorders>
            <w:vAlign w:val="center"/>
          </w:tcPr>
          <w:p w14:paraId="095A0269"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r>
      <w:tr w:rsidR="000A7F0B" w:rsidRPr="00483DC7" w14:paraId="0E4B127C" w14:textId="77777777" w:rsidTr="000A7F0B">
        <w:tc>
          <w:tcPr>
            <w:tcW w:w="184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27154B"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TOTAL</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68DEE5"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70</w:t>
            </w:r>
          </w:p>
        </w:tc>
        <w:tc>
          <w:tcPr>
            <w:tcW w:w="82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3BF2C0" w14:textId="77777777" w:rsidR="000A7F0B" w:rsidRPr="00483DC7" w:rsidRDefault="000A7F0B" w:rsidP="000A7F0B">
            <w:pPr>
              <w:spacing w:after="0"/>
              <w:jc w:val="both"/>
              <w:rPr>
                <w:rFonts w:ascii="Times New Roman" w:hAnsi="Times New Roman" w:cs="Times New Roman"/>
                <w:b/>
                <w:sz w:val="18"/>
                <w:szCs w:val="18"/>
                <w:lang w:val="ro-MD"/>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DC7775"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44</w:t>
            </w:r>
          </w:p>
        </w:tc>
        <w:tc>
          <w:tcPr>
            <w:tcW w:w="98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DF96D3"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20</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A9F5E5"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24</w:t>
            </w:r>
          </w:p>
        </w:tc>
      </w:tr>
      <w:tr w:rsidR="000A7F0B" w:rsidRPr="00483DC7" w14:paraId="2C88FA71" w14:textId="77777777" w:rsidTr="000A7F0B">
        <w:trPr>
          <w:trHeight w:val="221"/>
        </w:trPr>
        <w:tc>
          <w:tcPr>
            <w:tcW w:w="14171"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0CCAD" w14:textId="1DD34D8F" w:rsidR="000A7F0B" w:rsidRPr="00483DC7" w:rsidRDefault="000A7F0B" w:rsidP="00C624F9">
            <w:pPr>
              <w:spacing w:after="0"/>
              <w:jc w:val="center"/>
              <w:rPr>
                <w:rFonts w:ascii="Times New Roman" w:hAnsi="Times New Roman" w:cs="Times New Roman"/>
                <w:i/>
                <w:sz w:val="18"/>
                <w:szCs w:val="18"/>
                <w:lang w:val="ro-MD"/>
              </w:rPr>
            </w:pPr>
            <w:r w:rsidRPr="00483DC7">
              <w:rPr>
                <w:rFonts w:ascii="Times New Roman" w:hAnsi="Times New Roman" w:cs="Times New Roman"/>
                <w:b/>
                <w:i/>
                <w:sz w:val="18"/>
                <w:szCs w:val="18"/>
                <w:lang w:val="ro-MD"/>
              </w:rPr>
              <w:t>Sursa:</w:t>
            </w:r>
            <w:r w:rsidRPr="00483DC7">
              <w:rPr>
                <w:rFonts w:ascii="Times New Roman" w:hAnsi="Times New Roman" w:cs="Times New Roman"/>
                <w:i/>
                <w:sz w:val="18"/>
                <w:szCs w:val="18"/>
                <w:lang w:val="ro-MD"/>
              </w:rPr>
              <w:t xml:space="preserve"> Informați</w:t>
            </w:r>
            <w:r w:rsidR="00C624F9">
              <w:rPr>
                <w:rFonts w:ascii="Times New Roman" w:hAnsi="Times New Roman" w:cs="Times New Roman"/>
                <w:i/>
                <w:sz w:val="18"/>
                <w:szCs w:val="18"/>
                <w:lang w:val="ro-MD"/>
              </w:rPr>
              <w:t>i</w:t>
            </w:r>
            <w:r w:rsidRPr="00483DC7">
              <w:rPr>
                <w:rFonts w:ascii="Times New Roman" w:hAnsi="Times New Roman" w:cs="Times New Roman"/>
                <w:i/>
                <w:sz w:val="18"/>
                <w:szCs w:val="18"/>
                <w:lang w:val="ro-MD"/>
              </w:rPr>
              <w:t xml:space="preserve"> sistematizat</w:t>
            </w:r>
            <w:r w:rsidR="00C624F9">
              <w:rPr>
                <w:rFonts w:ascii="Times New Roman" w:hAnsi="Times New Roman" w:cs="Times New Roman"/>
                <w:i/>
                <w:sz w:val="18"/>
                <w:szCs w:val="18"/>
                <w:lang w:val="ro-MD"/>
              </w:rPr>
              <w:t>e</w:t>
            </w:r>
            <w:r w:rsidRPr="00483DC7">
              <w:rPr>
                <w:rFonts w:ascii="Times New Roman" w:hAnsi="Times New Roman" w:cs="Times New Roman"/>
                <w:i/>
                <w:sz w:val="18"/>
                <w:szCs w:val="18"/>
                <w:lang w:val="ro-MD"/>
              </w:rPr>
              <w:t xml:space="preserve"> de către audit în baza informațiilor prezentate de către UIPFAE.</w:t>
            </w:r>
          </w:p>
        </w:tc>
      </w:tr>
    </w:tbl>
    <w:p w14:paraId="1DFC829E" w14:textId="77777777" w:rsidR="000A7F0B" w:rsidRPr="00483DC7" w:rsidRDefault="000A7F0B" w:rsidP="000A7F0B">
      <w:pPr>
        <w:spacing w:after="0" w:line="240" w:lineRule="auto"/>
        <w:rPr>
          <w:rFonts w:ascii="Times New Roman" w:hAnsi="Times New Roman" w:cs="Times New Roman"/>
          <w:sz w:val="16"/>
          <w:szCs w:val="16"/>
          <w:lang w:val="ro-MD"/>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56"/>
        <w:gridCol w:w="779"/>
        <w:gridCol w:w="857"/>
        <w:gridCol w:w="847"/>
        <w:gridCol w:w="991"/>
        <w:gridCol w:w="1121"/>
        <w:gridCol w:w="1316"/>
        <w:gridCol w:w="811"/>
        <w:gridCol w:w="1224"/>
        <w:gridCol w:w="786"/>
        <w:gridCol w:w="1356"/>
        <w:gridCol w:w="896"/>
      </w:tblGrid>
      <w:tr w:rsidR="000A7F0B" w:rsidRPr="00483DC7" w14:paraId="08D2CB29" w14:textId="77777777" w:rsidTr="000A7F0B">
        <w:trPr>
          <w:trHeight w:val="297"/>
        </w:trPr>
        <w:tc>
          <w:tcPr>
            <w:tcW w:w="1928" w:type="dxa"/>
            <w:vMerge w:val="restart"/>
            <w:shd w:val="clear" w:color="auto" w:fill="DEEAF6" w:themeFill="accent1" w:themeFillTint="33"/>
            <w:vAlign w:val="center"/>
          </w:tcPr>
          <w:p w14:paraId="7B2B9866"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Denumirea instituției</w:t>
            </w:r>
          </w:p>
        </w:tc>
        <w:tc>
          <w:tcPr>
            <w:tcW w:w="1256" w:type="dxa"/>
            <w:vMerge w:val="restart"/>
            <w:shd w:val="clear" w:color="auto" w:fill="DEEAF6" w:themeFill="accent1" w:themeFillTint="33"/>
            <w:vAlign w:val="center"/>
          </w:tcPr>
          <w:p w14:paraId="52827950" w14:textId="77777777" w:rsidR="000A7F0B" w:rsidRPr="00483DC7" w:rsidRDefault="000A7F0B" w:rsidP="000A7F0B">
            <w:pPr>
              <w:spacing w:after="0"/>
              <w:jc w:val="center"/>
              <w:rPr>
                <w:rFonts w:ascii="Times New Roman" w:hAnsi="Times New Roman" w:cs="Times New Roman"/>
                <w:b/>
                <w:color w:val="000000" w:themeColor="text1"/>
                <w:sz w:val="18"/>
                <w:szCs w:val="18"/>
                <w:lang w:val="ro-MD"/>
              </w:rPr>
            </w:pPr>
            <w:r w:rsidRPr="00483DC7">
              <w:rPr>
                <w:rFonts w:ascii="Times New Roman" w:hAnsi="Times New Roman" w:cs="Times New Roman"/>
                <w:b/>
                <w:color w:val="000000" w:themeColor="text1"/>
                <w:sz w:val="18"/>
                <w:szCs w:val="18"/>
                <w:lang w:val="ro-MD"/>
              </w:rPr>
              <w:t>TOTAL reprezentanți</w:t>
            </w:r>
          </w:p>
        </w:tc>
        <w:tc>
          <w:tcPr>
            <w:tcW w:w="10949" w:type="dxa"/>
            <w:gridSpan w:val="11"/>
            <w:shd w:val="clear" w:color="auto" w:fill="DEEAF6" w:themeFill="accent1" w:themeFillTint="33"/>
            <w:vAlign w:val="center"/>
          </w:tcPr>
          <w:p w14:paraId="7274E06E" w14:textId="2CD32FC4" w:rsidR="000A7F0B" w:rsidRPr="00483DC7" w:rsidRDefault="000A7F0B" w:rsidP="00C624F9">
            <w:pPr>
              <w:spacing w:after="0"/>
              <w:jc w:val="center"/>
              <w:rPr>
                <w:rFonts w:ascii="Times New Roman" w:hAnsi="Times New Roman" w:cs="Times New Roman"/>
                <w:b/>
                <w:color w:val="000000" w:themeColor="text1"/>
                <w:sz w:val="18"/>
                <w:szCs w:val="18"/>
                <w:lang w:val="ro-MD"/>
              </w:rPr>
            </w:pPr>
            <w:r w:rsidRPr="00483DC7">
              <w:rPr>
                <w:rFonts w:ascii="Times New Roman" w:hAnsi="Times New Roman" w:cs="Times New Roman"/>
                <w:b/>
                <w:color w:val="000000" w:themeColor="text1"/>
                <w:sz w:val="18"/>
                <w:szCs w:val="18"/>
                <w:lang w:val="ro-MD"/>
              </w:rPr>
              <w:t xml:space="preserve">Repartizarea </w:t>
            </w:r>
            <w:r w:rsidR="00C624F9">
              <w:rPr>
                <w:rFonts w:ascii="Times New Roman" w:hAnsi="Times New Roman" w:cs="Times New Roman"/>
                <w:b/>
                <w:color w:val="000000" w:themeColor="text1"/>
                <w:sz w:val="18"/>
                <w:szCs w:val="18"/>
                <w:lang w:val="ro-MD"/>
              </w:rPr>
              <w:t>numărului</w:t>
            </w:r>
            <w:r w:rsidRPr="00483DC7">
              <w:rPr>
                <w:rFonts w:ascii="Times New Roman" w:hAnsi="Times New Roman" w:cs="Times New Roman"/>
                <w:b/>
                <w:color w:val="000000" w:themeColor="text1"/>
                <w:sz w:val="18"/>
                <w:szCs w:val="18"/>
                <w:lang w:val="ro-MD"/>
              </w:rPr>
              <w:t xml:space="preserve"> de reprezentanți în Organele </w:t>
            </w:r>
            <w:r w:rsidR="00C624F9">
              <w:rPr>
                <w:rFonts w:ascii="Times New Roman" w:hAnsi="Times New Roman" w:cs="Times New Roman"/>
                <w:b/>
                <w:color w:val="000000" w:themeColor="text1"/>
                <w:sz w:val="18"/>
                <w:szCs w:val="18"/>
                <w:lang w:val="ro-MD"/>
              </w:rPr>
              <w:t>c</w:t>
            </w:r>
            <w:r w:rsidRPr="00483DC7">
              <w:rPr>
                <w:rFonts w:ascii="Times New Roman" w:hAnsi="Times New Roman" w:cs="Times New Roman"/>
                <w:b/>
                <w:color w:val="000000" w:themeColor="text1"/>
                <w:sz w:val="18"/>
                <w:szCs w:val="18"/>
                <w:lang w:val="ro-MD"/>
              </w:rPr>
              <w:t>olegiale de supraveghere</w:t>
            </w:r>
          </w:p>
        </w:tc>
      </w:tr>
      <w:tr w:rsidR="000A7F0B" w:rsidRPr="00483DC7" w14:paraId="262879CD" w14:textId="77777777" w:rsidTr="000A7F0B">
        <w:tc>
          <w:tcPr>
            <w:tcW w:w="1928" w:type="dxa"/>
            <w:vMerge/>
            <w:shd w:val="clear" w:color="auto" w:fill="DEEAF6" w:themeFill="accent1" w:themeFillTint="33"/>
            <w:vAlign w:val="center"/>
          </w:tcPr>
          <w:p w14:paraId="19C8864A" w14:textId="77777777" w:rsidR="000A7F0B" w:rsidRPr="00483DC7" w:rsidRDefault="000A7F0B" w:rsidP="000A7F0B">
            <w:pPr>
              <w:spacing w:after="0"/>
              <w:jc w:val="center"/>
              <w:rPr>
                <w:rFonts w:ascii="Times New Roman" w:hAnsi="Times New Roman" w:cs="Times New Roman"/>
                <w:b/>
                <w:sz w:val="18"/>
                <w:szCs w:val="18"/>
                <w:lang w:val="ro-MD"/>
              </w:rPr>
            </w:pPr>
          </w:p>
        </w:tc>
        <w:tc>
          <w:tcPr>
            <w:tcW w:w="1256" w:type="dxa"/>
            <w:vMerge/>
            <w:shd w:val="clear" w:color="auto" w:fill="DEEAF6" w:themeFill="accent1" w:themeFillTint="33"/>
            <w:vAlign w:val="center"/>
          </w:tcPr>
          <w:p w14:paraId="3CD486AC" w14:textId="77777777" w:rsidR="000A7F0B" w:rsidRPr="00483DC7" w:rsidRDefault="000A7F0B" w:rsidP="000A7F0B">
            <w:pPr>
              <w:spacing w:after="0"/>
              <w:jc w:val="center"/>
              <w:rPr>
                <w:rFonts w:ascii="Times New Roman" w:hAnsi="Times New Roman" w:cs="Times New Roman"/>
                <w:b/>
                <w:color w:val="000000" w:themeColor="text1"/>
                <w:sz w:val="18"/>
                <w:szCs w:val="18"/>
                <w:lang w:val="ro-MD"/>
              </w:rPr>
            </w:pPr>
          </w:p>
        </w:tc>
        <w:tc>
          <w:tcPr>
            <w:tcW w:w="779" w:type="dxa"/>
            <w:shd w:val="clear" w:color="auto" w:fill="DEEAF6" w:themeFill="accent1" w:themeFillTint="33"/>
            <w:vAlign w:val="center"/>
          </w:tcPr>
          <w:p w14:paraId="403F3A65"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ADMA</w:t>
            </w:r>
          </w:p>
        </w:tc>
        <w:tc>
          <w:tcPr>
            <w:tcW w:w="857" w:type="dxa"/>
            <w:shd w:val="clear" w:color="auto" w:fill="DEEAF6" w:themeFill="accent1" w:themeFillTint="33"/>
            <w:vAlign w:val="center"/>
          </w:tcPr>
          <w:p w14:paraId="54AFFA39"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OGPAE</w:t>
            </w:r>
          </w:p>
        </w:tc>
        <w:tc>
          <w:tcPr>
            <w:tcW w:w="848" w:type="dxa"/>
            <w:shd w:val="clear" w:color="auto" w:fill="DEEAF6" w:themeFill="accent1" w:themeFillTint="33"/>
            <w:vAlign w:val="center"/>
          </w:tcPr>
          <w:p w14:paraId="7E1F4C1F"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ONIPM</w:t>
            </w:r>
          </w:p>
        </w:tc>
        <w:tc>
          <w:tcPr>
            <w:tcW w:w="993" w:type="dxa"/>
            <w:shd w:val="clear" w:color="auto" w:fill="DEEAF6" w:themeFill="accent1" w:themeFillTint="33"/>
            <w:vAlign w:val="center"/>
          </w:tcPr>
          <w:p w14:paraId="11B8454A"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UCIMPA</w:t>
            </w:r>
          </w:p>
        </w:tc>
        <w:tc>
          <w:tcPr>
            <w:tcW w:w="1134" w:type="dxa"/>
            <w:shd w:val="clear" w:color="auto" w:fill="DEEAF6" w:themeFill="accent1" w:themeFillTint="33"/>
            <w:vAlign w:val="center"/>
          </w:tcPr>
          <w:p w14:paraId="6546DD7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UCIMP DS</w:t>
            </w:r>
          </w:p>
        </w:tc>
        <w:tc>
          <w:tcPr>
            <w:tcW w:w="1316" w:type="dxa"/>
            <w:shd w:val="clear" w:color="auto" w:fill="DEEAF6" w:themeFill="accent1" w:themeFillTint="33"/>
            <w:vAlign w:val="center"/>
          </w:tcPr>
          <w:p w14:paraId="6AAAA678"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UCIMPRSVV</w:t>
            </w:r>
          </w:p>
        </w:tc>
        <w:tc>
          <w:tcPr>
            <w:tcW w:w="812" w:type="dxa"/>
            <w:shd w:val="clear" w:color="auto" w:fill="DEEAF6" w:themeFill="accent1" w:themeFillTint="33"/>
            <w:vAlign w:val="center"/>
          </w:tcPr>
          <w:p w14:paraId="2FC1490C"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UCIPE</w:t>
            </w:r>
          </w:p>
        </w:tc>
        <w:tc>
          <w:tcPr>
            <w:tcW w:w="1249" w:type="dxa"/>
            <w:shd w:val="clear" w:color="auto" w:fill="DEEAF6" w:themeFill="accent1" w:themeFillTint="33"/>
            <w:vAlign w:val="center"/>
          </w:tcPr>
          <w:p w14:paraId="251C2A1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UCIP IFAD</w:t>
            </w:r>
          </w:p>
        </w:tc>
        <w:tc>
          <w:tcPr>
            <w:tcW w:w="786" w:type="dxa"/>
            <w:shd w:val="clear" w:color="auto" w:fill="DEEAF6" w:themeFill="accent1" w:themeFillTint="33"/>
            <w:vAlign w:val="center"/>
          </w:tcPr>
          <w:p w14:paraId="4486F72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UIPAC</w:t>
            </w:r>
          </w:p>
        </w:tc>
        <w:tc>
          <w:tcPr>
            <w:tcW w:w="1367" w:type="dxa"/>
            <w:shd w:val="clear" w:color="auto" w:fill="DEEAF6" w:themeFill="accent1" w:themeFillTint="33"/>
            <w:vAlign w:val="center"/>
          </w:tcPr>
          <w:p w14:paraId="08C3EA8F" w14:textId="77777777" w:rsidR="000A7F0B" w:rsidRPr="00483DC7" w:rsidRDefault="000A7F0B" w:rsidP="000A7F0B">
            <w:pPr>
              <w:spacing w:after="0"/>
              <w:ind w:right="-48"/>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UIPCLPSV II</w:t>
            </w:r>
          </w:p>
        </w:tc>
        <w:tc>
          <w:tcPr>
            <w:tcW w:w="808" w:type="dxa"/>
            <w:shd w:val="clear" w:color="auto" w:fill="DEEAF6" w:themeFill="accent1" w:themeFillTint="33"/>
            <w:vAlign w:val="center"/>
          </w:tcPr>
          <w:p w14:paraId="5F0A388E"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UIPCPC</w:t>
            </w:r>
          </w:p>
        </w:tc>
      </w:tr>
      <w:tr w:rsidR="000A7F0B" w:rsidRPr="00483DC7" w14:paraId="2BB4BA9D" w14:textId="77777777" w:rsidTr="000A7F0B">
        <w:tc>
          <w:tcPr>
            <w:tcW w:w="1928" w:type="dxa"/>
            <w:vAlign w:val="center"/>
          </w:tcPr>
          <w:p w14:paraId="79D57B9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MF</w:t>
            </w:r>
          </w:p>
        </w:tc>
        <w:tc>
          <w:tcPr>
            <w:tcW w:w="1256" w:type="dxa"/>
            <w:vAlign w:val="center"/>
          </w:tcPr>
          <w:p w14:paraId="0DF46DEA"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13</w:t>
            </w:r>
          </w:p>
        </w:tc>
        <w:tc>
          <w:tcPr>
            <w:tcW w:w="779" w:type="dxa"/>
            <w:vAlign w:val="center"/>
          </w:tcPr>
          <w:p w14:paraId="752953E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57" w:type="dxa"/>
            <w:vAlign w:val="center"/>
          </w:tcPr>
          <w:p w14:paraId="4D844046"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848" w:type="dxa"/>
            <w:vAlign w:val="center"/>
          </w:tcPr>
          <w:p w14:paraId="65A28D6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93" w:type="dxa"/>
            <w:vAlign w:val="center"/>
          </w:tcPr>
          <w:p w14:paraId="281694D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134" w:type="dxa"/>
            <w:vAlign w:val="center"/>
          </w:tcPr>
          <w:p w14:paraId="0557A97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16" w:type="dxa"/>
            <w:vAlign w:val="center"/>
          </w:tcPr>
          <w:p w14:paraId="0F0DBD3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12" w:type="dxa"/>
            <w:vAlign w:val="center"/>
          </w:tcPr>
          <w:p w14:paraId="1D1F845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249" w:type="dxa"/>
            <w:vAlign w:val="center"/>
          </w:tcPr>
          <w:p w14:paraId="5D242C3B"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786" w:type="dxa"/>
            <w:vAlign w:val="center"/>
          </w:tcPr>
          <w:p w14:paraId="4FC1C99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67" w:type="dxa"/>
            <w:vAlign w:val="center"/>
          </w:tcPr>
          <w:p w14:paraId="585FB73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08" w:type="dxa"/>
            <w:vAlign w:val="center"/>
          </w:tcPr>
          <w:p w14:paraId="6B04A18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41C22756" w14:textId="77777777" w:rsidTr="000A7F0B">
        <w:tc>
          <w:tcPr>
            <w:tcW w:w="1928" w:type="dxa"/>
            <w:vAlign w:val="center"/>
          </w:tcPr>
          <w:p w14:paraId="4F67F07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MAIA</w:t>
            </w:r>
          </w:p>
        </w:tc>
        <w:tc>
          <w:tcPr>
            <w:tcW w:w="1256" w:type="dxa"/>
            <w:vAlign w:val="center"/>
          </w:tcPr>
          <w:p w14:paraId="6181512F"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9</w:t>
            </w:r>
          </w:p>
        </w:tc>
        <w:tc>
          <w:tcPr>
            <w:tcW w:w="779" w:type="dxa"/>
            <w:vAlign w:val="center"/>
          </w:tcPr>
          <w:p w14:paraId="3914624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857" w:type="dxa"/>
            <w:vAlign w:val="center"/>
          </w:tcPr>
          <w:p w14:paraId="5E09F37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48" w:type="dxa"/>
            <w:vAlign w:val="center"/>
          </w:tcPr>
          <w:p w14:paraId="3ECECBC4" w14:textId="77777777" w:rsidR="000A7F0B" w:rsidRPr="00483DC7" w:rsidRDefault="000A7F0B" w:rsidP="000A7F0B">
            <w:pPr>
              <w:spacing w:after="0"/>
              <w:jc w:val="center"/>
              <w:rPr>
                <w:rFonts w:ascii="Times New Roman" w:hAnsi="Times New Roman" w:cs="Times New Roman"/>
                <w:sz w:val="18"/>
                <w:szCs w:val="18"/>
                <w:lang w:val="ro-MD"/>
              </w:rPr>
            </w:pPr>
          </w:p>
        </w:tc>
        <w:tc>
          <w:tcPr>
            <w:tcW w:w="993" w:type="dxa"/>
            <w:vAlign w:val="center"/>
          </w:tcPr>
          <w:p w14:paraId="1E6BF16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134" w:type="dxa"/>
            <w:vAlign w:val="center"/>
          </w:tcPr>
          <w:p w14:paraId="2E17BB2E" w14:textId="77777777" w:rsidR="000A7F0B" w:rsidRPr="00483DC7" w:rsidRDefault="000A7F0B" w:rsidP="000A7F0B">
            <w:pPr>
              <w:spacing w:after="0"/>
              <w:jc w:val="center"/>
              <w:rPr>
                <w:rFonts w:ascii="Times New Roman" w:hAnsi="Times New Roman" w:cs="Times New Roman"/>
                <w:sz w:val="18"/>
                <w:szCs w:val="18"/>
                <w:lang w:val="ro-MD"/>
              </w:rPr>
            </w:pPr>
          </w:p>
        </w:tc>
        <w:tc>
          <w:tcPr>
            <w:tcW w:w="1316" w:type="dxa"/>
            <w:vAlign w:val="center"/>
          </w:tcPr>
          <w:p w14:paraId="5F749C3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812" w:type="dxa"/>
            <w:vAlign w:val="center"/>
          </w:tcPr>
          <w:p w14:paraId="179AC9C6" w14:textId="77777777" w:rsidR="000A7F0B" w:rsidRPr="00483DC7" w:rsidRDefault="000A7F0B" w:rsidP="000A7F0B">
            <w:pPr>
              <w:spacing w:after="0"/>
              <w:jc w:val="center"/>
              <w:rPr>
                <w:rFonts w:ascii="Times New Roman" w:hAnsi="Times New Roman" w:cs="Times New Roman"/>
                <w:sz w:val="18"/>
                <w:szCs w:val="18"/>
                <w:lang w:val="ro-MD"/>
              </w:rPr>
            </w:pPr>
          </w:p>
        </w:tc>
        <w:tc>
          <w:tcPr>
            <w:tcW w:w="1249" w:type="dxa"/>
            <w:vAlign w:val="center"/>
          </w:tcPr>
          <w:p w14:paraId="283B5CD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786" w:type="dxa"/>
            <w:vAlign w:val="center"/>
          </w:tcPr>
          <w:p w14:paraId="08656885" w14:textId="77777777" w:rsidR="000A7F0B" w:rsidRPr="00483DC7" w:rsidRDefault="000A7F0B" w:rsidP="000A7F0B">
            <w:pPr>
              <w:spacing w:after="0"/>
              <w:jc w:val="center"/>
              <w:rPr>
                <w:rFonts w:ascii="Times New Roman" w:hAnsi="Times New Roman" w:cs="Times New Roman"/>
                <w:sz w:val="18"/>
                <w:szCs w:val="18"/>
                <w:lang w:val="ro-MD"/>
              </w:rPr>
            </w:pPr>
          </w:p>
        </w:tc>
        <w:tc>
          <w:tcPr>
            <w:tcW w:w="1367" w:type="dxa"/>
            <w:vAlign w:val="center"/>
          </w:tcPr>
          <w:p w14:paraId="35676393" w14:textId="77777777" w:rsidR="000A7F0B" w:rsidRPr="00483DC7" w:rsidRDefault="000A7F0B" w:rsidP="000A7F0B">
            <w:pPr>
              <w:spacing w:after="0"/>
              <w:jc w:val="center"/>
              <w:rPr>
                <w:rFonts w:ascii="Times New Roman" w:hAnsi="Times New Roman" w:cs="Times New Roman"/>
                <w:sz w:val="18"/>
                <w:szCs w:val="18"/>
                <w:lang w:val="ro-MD"/>
              </w:rPr>
            </w:pPr>
          </w:p>
        </w:tc>
        <w:tc>
          <w:tcPr>
            <w:tcW w:w="808" w:type="dxa"/>
            <w:vAlign w:val="center"/>
          </w:tcPr>
          <w:p w14:paraId="5A63CD27" w14:textId="77777777" w:rsidR="000A7F0B" w:rsidRPr="00483DC7" w:rsidRDefault="000A7F0B" w:rsidP="000A7F0B">
            <w:pPr>
              <w:spacing w:after="0"/>
              <w:jc w:val="center"/>
              <w:rPr>
                <w:rFonts w:ascii="Times New Roman" w:hAnsi="Times New Roman" w:cs="Times New Roman"/>
                <w:sz w:val="18"/>
                <w:szCs w:val="18"/>
                <w:lang w:val="ro-MD"/>
              </w:rPr>
            </w:pPr>
          </w:p>
        </w:tc>
      </w:tr>
      <w:tr w:rsidR="000A7F0B" w:rsidRPr="00483DC7" w14:paraId="6060A272" w14:textId="77777777" w:rsidTr="000A7F0B">
        <w:tc>
          <w:tcPr>
            <w:tcW w:w="1928" w:type="dxa"/>
            <w:vAlign w:val="center"/>
          </w:tcPr>
          <w:p w14:paraId="506BE3B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MDED</w:t>
            </w:r>
          </w:p>
        </w:tc>
        <w:tc>
          <w:tcPr>
            <w:tcW w:w="1256" w:type="dxa"/>
            <w:vAlign w:val="center"/>
          </w:tcPr>
          <w:p w14:paraId="560C86CD"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6</w:t>
            </w:r>
          </w:p>
        </w:tc>
        <w:tc>
          <w:tcPr>
            <w:tcW w:w="779" w:type="dxa"/>
            <w:vAlign w:val="center"/>
          </w:tcPr>
          <w:p w14:paraId="399C48B4" w14:textId="77777777" w:rsidR="000A7F0B" w:rsidRPr="00483DC7" w:rsidRDefault="000A7F0B" w:rsidP="000A7F0B">
            <w:pPr>
              <w:spacing w:after="0"/>
              <w:jc w:val="center"/>
              <w:rPr>
                <w:rFonts w:ascii="Times New Roman" w:hAnsi="Times New Roman" w:cs="Times New Roman"/>
                <w:sz w:val="18"/>
                <w:szCs w:val="18"/>
                <w:lang w:val="ro-MD"/>
              </w:rPr>
            </w:pPr>
          </w:p>
        </w:tc>
        <w:tc>
          <w:tcPr>
            <w:tcW w:w="857" w:type="dxa"/>
            <w:vAlign w:val="center"/>
          </w:tcPr>
          <w:p w14:paraId="3B9E004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48" w:type="dxa"/>
            <w:vAlign w:val="center"/>
          </w:tcPr>
          <w:p w14:paraId="377C6F71" w14:textId="77777777" w:rsidR="000A7F0B" w:rsidRPr="00483DC7" w:rsidRDefault="000A7F0B" w:rsidP="000A7F0B">
            <w:pPr>
              <w:spacing w:after="0"/>
              <w:jc w:val="center"/>
              <w:rPr>
                <w:rFonts w:ascii="Times New Roman" w:hAnsi="Times New Roman" w:cs="Times New Roman"/>
                <w:sz w:val="18"/>
                <w:szCs w:val="18"/>
                <w:lang w:val="ro-MD"/>
              </w:rPr>
            </w:pPr>
          </w:p>
        </w:tc>
        <w:tc>
          <w:tcPr>
            <w:tcW w:w="993" w:type="dxa"/>
            <w:vAlign w:val="center"/>
          </w:tcPr>
          <w:p w14:paraId="3BCC13E0"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134" w:type="dxa"/>
            <w:vAlign w:val="center"/>
          </w:tcPr>
          <w:p w14:paraId="1F23395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16" w:type="dxa"/>
            <w:vAlign w:val="center"/>
          </w:tcPr>
          <w:p w14:paraId="255B849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12" w:type="dxa"/>
            <w:vAlign w:val="center"/>
          </w:tcPr>
          <w:p w14:paraId="42FA615B" w14:textId="77777777" w:rsidR="000A7F0B" w:rsidRPr="00483DC7" w:rsidRDefault="000A7F0B" w:rsidP="000A7F0B">
            <w:pPr>
              <w:spacing w:after="0"/>
              <w:jc w:val="center"/>
              <w:rPr>
                <w:rFonts w:ascii="Times New Roman" w:hAnsi="Times New Roman" w:cs="Times New Roman"/>
                <w:sz w:val="18"/>
                <w:szCs w:val="18"/>
                <w:lang w:val="ro-MD"/>
              </w:rPr>
            </w:pPr>
          </w:p>
        </w:tc>
        <w:tc>
          <w:tcPr>
            <w:tcW w:w="1249" w:type="dxa"/>
            <w:vAlign w:val="center"/>
          </w:tcPr>
          <w:p w14:paraId="1A75CB5C" w14:textId="77777777" w:rsidR="000A7F0B" w:rsidRPr="00483DC7" w:rsidRDefault="000A7F0B" w:rsidP="000A7F0B">
            <w:pPr>
              <w:spacing w:after="0"/>
              <w:jc w:val="center"/>
              <w:rPr>
                <w:rFonts w:ascii="Times New Roman" w:hAnsi="Times New Roman" w:cs="Times New Roman"/>
                <w:sz w:val="18"/>
                <w:szCs w:val="18"/>
                <w:lang w:val="ro-MD"/>
              </w:rPr>
            </w:pPr>
          </w:p>
        </w:tc>
        <w:tc>
          <w:tcPr>
            <w:tcW w:w="786" w:type="dxa"/>
            <w:vAlign w:val="center"/>
          </w:tcPr>
          <w:p w14:paraId="3407401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367" w:type="dxa"/>
            <w:vAlign w:val="center"/>
          </w:tcPr>
          <w:p w14:paraId="1532B0FD" w14:textId="77777777" w:rsidR="000A7F0B" w:rsidRPr="00483DC7" w:rsidRDefault="000A7F0B" w:rsidP="000A7F0B">
            <w:pPr>
              <w:spacing w:after="0"/>
              <w:jc w:val="center"/>
              <w:rPr>
                <w:rFonts w:ascii="Times New Roman" w:hAnsi="Times New Roman" w:cs="Times New Roman"/>
                <w:sz w:val="18"/>
                <w:szCs w:val="18"/>
                <w:lang w:val="ro-MD"/>
              </w:rPr>
            </w:pPr>
          </w:p>
        </w:tc>
        <w:tc>
          <w:tcPr>
            <w:tcW w:w="808" w:type="dxa"/>
            <w:vAlign w:val="center"/>
          </w:tcPr>
          <w:p w14:paraId="54BC8C56" w14:textId="77777777" w:rsidR="000A7F0B" w:rsidRPr="00483DC7" w:rsidRDefault="000A7F0B" w:rsidP="000A7F0B">
            <w:pPr>
              <w:spacing w:after="0"/>
              <w:jc w:val="center"/>
              <w:rPr>
                <w:rFonts w:ascii="Times New Roman" w:hAnsi="Times New Roman" w:cs="Times New Roman"/>
                <w:sz w:val="18"/>
                <w:szCs w:val="18"/>
                <w:lang w:val="ro-MD"/>
              </w:rPr>
            </w:pPr>
          </w:p>
        </w:tc>
      </w:tr>
      <w:tr w:rsidR="000A7F0B" w:rsidRPr="00483DC7" w14:paraId="0642AE6A" w14:textId="77777777" w:rsidTr="000A7F0B">
        <w:tc>
          <w:tcPr>
            <w:tcW w:w="1928" w:type="dxa"/>
            <w:vAlign w:val="center"/>
          </w:tcPr>
          <w:p w14:paraId="7644DC2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Cancelaria de Stat</w:t>
            </w:r>
          </w:p>
        </w:tc>
        <w:tc>
          <w:tcPr>
            <w:tcW w:w="1256" w:type="dxa"/>
            <w:vAlign w:val="center"/>
          </w:tcPr>
          <w:p w14:paraId="4ABDF3B2"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5</w:t>
            </w:r>
          </w:p>
        </w:tc>
        <w:tc>
          <w:tcPr>
            <w:tcW w:w="779" w:type="dxa"/>
            <w:vAlign w:val="center"/>
          </w:tcPr>
          <w:p w14:paraId="743ACA8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57" w:type="dxa"/>
            <w:vAlign w:val="center"/>
          </w:tcPr>
          <w:p w14:paraId="0E77A4B6" w14:textId="77777777" w:rsidR="000A7F0B" w:rsidRPr="00483DC7" w:rsidRDefault="000A7F0B" w:rsidP="000A7F0B">
            <w:pPr>
              <w:spacing w:after="0"/>
              <w:jc w:val="center"/>
              <w:rPr>
                <w:rFonts w:ascii="Times New Roman" w:hAnsi="Times New Roman" w:cs="Times New Roman"/>
                <w:sz w:val="18"/>
                <w:szCs w:val="18"/>
                <w:lang w:val="ro-MD"/>
              </w:rPr>
            </w:pPr>
          </w:p>
        </w:tc>
        <w:tc>
          <w:tcPr>
            <w:tcW w:w="848" w:type="dxa"/>
            <w:vAlign w:val="center"/>
          </w:tcPr>
          <w:p w14:paraId="1EF698AF" w14:textId="77777777" w:rsidR="000A7F0B" w:rsidRPr="00483DC7" w:rsidRDefault="000A7F0B" w:rsidP="000A7F0B">
            <w:pPr>
              <w:spacing w:after="0"/>
              <w:jc w:val="center"/>
              <w:rPr>
                <w:rFonts w:ascii="Times New Roman" w:hAnsi="Times New Roman" w:cs="Times New Roman"/>
                <w:sz w:val="18"/>
                <w:szCs w:val="18"/>
                <w:lang w:val="ro-MD"/>
              </w:rPr>
            </w:pPr>
          </w:p>
        </w:tc>
        <w:tc>
          <w:tcPr>
            <w:tcW w:w="993" w:type="dxa"/>
            <w:vAlign w:val="center"/>
          </w:tcPr>
          <w:p w14:paraId="754C3EB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134" w:type="dxa"/>
            <w:vAlign w:val="center"/>
          </w:tcPr>
          <w:p w14:paraId="0910290A" w14:textId="77777777" w:rsidR="000A7F0B" w:rsidRPr="00483DC7" w:rsidRDefault="000A7F0B" w:rsidP="000A7F0B">
            <w:pPr>
              <w:spacing w:after="0"/>
              <w:jc w:val="center"/>
              <w:rPr>
                <w:rFonts w:ascii="Times New Roman" w:hAnsi="Times New Roman" w:cs="Times New Roman"/>
                <w:sz w:val="18"/>
                <w:szCs w:val="18"/>
                <w:lang w:val="ro-MD"/>
              </w:rPr>
            </w:pPr>
          </w:p>
        </w:tc>
        <w:tc>
          <w:tcPr>
            <w:tcW w:w="1316" w:type="dxa"/>
            <w:vAlign w:val="center"/>
          </w:tcPr>
          <w:p w14:paraId="4C031DA7" w14:textId="77777777" w:rsidR="000A7F0B" w:rsidRPr="00483DC7" w:rsidRDefault="000A7F0B" w:rsidP="000A7F0B">
            <w:pPr>
              <w:spacing w:after="0"/>
              <w:jc w:val="center"/>
              <w:rPr>
                <w:rFonts w:ascii="Times New Roman" w:hAnsi="Times New Roman" w:cs="Times New Roman"/>
                <w:sz w:val="18"/>
                <w:szCs w:val="18"/>
                <w:lang w:val="ro-MD"/>
              </w:rPr>
            </w:pPr>
          </w:p>
        </w:tc>
        <w:tc>
          <w:tcPr>
            <w:tcW w:w="812" w:type="dxa"/>
            <w:vAlign w:val="center"/>
          </w:tcPr>
          <w:p w14:paraId="2E957246"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249" w:type="dxa"/>
            <w:vAlign w:val="center"/>
          </w:tcPr>
          <w:p w14:paraId="364DC2C5"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786" w:type="dxa"/>
            <w:vAlign w:val="center"/>
          </w:tcPr>
          <w:p w14:paraId="6035C326" w14:textId="77777777" w:rsidR="000A7F0B" w:rsidRPr="00483DC7" w:rsidRDefault="000A7F0B" w:rsidP="000A7F0B">
            <w:pPr>
              <w:spacing w:after="0"/>
              <w:jc w:val="center"/>
              <w:rPr>
                <w:rFonts w:ascii="Times New Roman" w:hAnsi="Times New Roman" w:cs="Times New Roman"/>
                <w:sz w:val="18"/>
                <w:szCs w:val="18"/>
                <w:lang w:val="ro-MD"/>
              </w:rPr>
            </w:pPr>
          </w:p>
        </w:tc>
        <w:tc>
          <w:tcPr>
            <w:tcW w:w="1367" w:type="dxa"/>
            <w:vAlign w:val="center"/>
          </w:tcPr>
          <w:p w14:paraId="098C82DE"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08" w:type="dxa"/>
            <w:vAlign w:val="center"/>
          </w:tcPr>
          <w:p w14:paraId="6E852E00" w14:textId="77777777" w:rsidR="000A7F0B" w:rsidRPr="00483DC7" w:rsidRDefault="000A7F0B" w:rsidP="000A7F0B">
            <w:pPr>
              <w:spacing w:after="0"/>
              <w:jc w:val="center"/>
              <w:rPr>
                <w:rFonts w:ascii="Times New Roman" w:hAnsi="Times New Roman" w:cs="Times New Roman"/>
                <w:sz w:val="18"/>
                <w:szCs w:val="18"/>
                <w:lang w:val="ro-MD"/>
              </w:rPr>
            </w:pPr>
          </w:p>
        </w:tc>
      </w:tr>
      <w:tr w:rsidR="000A7F0B" w:rsidRPr="00483DC7" w14:paraId="11FB7E7D" w14:textId="77777777" w:rsidTr="000A7F0B">
        <w:tc>
          <w:tcPr>
            <w:tcW w:w="1928" w:type="dxa"/>
            <w:vAlign w:val="center"/>
          </w:tcPr>
          <w:p w14:paraId="4729C816"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Guvern</w:t>
            </w:r>
          </w:p>
        </w:tc>
        <w:tc>
          <w:tcPr>
            <w:tcW w:w="1256" w:type="dxa"/>
            <w:vAlign w:val="center"/>
          </w:tcPr>
          <w:p w14:paraId="28EDDAF2"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3</w:t>
            </w:r>
          </w:p>
        </w:tc>
        <w:tc>
          <w:tcPr>
            <w:tcW w:w="779" w:type="dxa"/>
            <w:vAlign w:val="center"/>
          </w:tcPr>
          <w:p w14:paraId="47F53F6B" w14:textId="77777777" w:rsidR="000A7F0B" w:rsidRPr="00483DC7" w:rsidRDefault="000A7F0B" w:rsidP="000A7F0B">
            <w:pPr>
              <w:spacing w:after="0"/>
              <w:jc w:val="center"/>
              <w:rPr>
                <w:rFonts w:ascii="Times New Roman" w:hAnsi="Times New Roman" w:cs="Times New Roman"/>
                <w:sz w:val="18"/>
                <w:szCs w:val="18"/>
                <w:lang w:val="ro-MD"/>
              </w:rPr>
            </w:pPr>
          </w:p>
        </w:tc>
        <w:tc>
          <w:tcPr>
            <w:tcW w:w="857" w:type="dxa"/>
            <w:vAlign w:val="center"/>
          </w:tcPr>
          <w:p w14:paraId="268ECCFB" w14:textId="77777777" w:rsidR="000A7F0B" w:rsidRPr="00483DC7" w:rsidRDefault="000A7F0B" w:rsidP="000A7F0B">
            <w:pPr>
              <w:spacing w:after="0"/>
              <w:jc w:val="center"/>
              <w:rPr>
                <w:rFonts w:ascii="Times New Roman" w:hAnsi="Times New Roman" w:cs="Times New Roman"/>
                <w:sz w:val="18"/>
                <w:szCs w:val="18"/>
                <w:lang w:val="ro-MD"/>
              </w:rPr>
            </w:pPr>
          </w:p>
        </w:tc>
        <w:tc>
          <w:tcPr>
            <w:tcW w:w="848" w:type="dxa"/>
            <w:vAlign w:val="center"/>
          </w:tcPr>
          <w:p w14:paraId="4F5A7C3E" w14:textId="77777777" w:rsidR="000A7F0B" w:rsidRPr="00483DC7" w:rsidRDefault="000A7F0B" w:rsidP="000A7F0B">
            <w:pPr>
              <w:spacing w:after="0"/>
              <w:jc w:val="center"/>
              <w:rPr>
                <w:rFonts w:ascii="Times New Roman" w:hAnsi="Times New Roman" w:cs="Times New Roman"/>
                <w:sz w:val="18"/>
                <w:szCs w:val="18"/>
                <w:lang w:val="ro-MD"/>
              </w:rPr>
            </w:pPr>
          </w:p>
        </w:tc>
        <w:tc>
          <w:tcPr>
            <w:tcW w:w="993" w:type="dxa"/>
            <w:vAlign w:val="center"/>
          </w:tcPr>
          <w:p w14:paraId="5D5D462A" w14:textId="77777777" w:rsidR="000A7F0B" w:rsidRPr="00483DC7" w:rsidRDefault="000A7F0B" w:rsidP="000A7F0B">
            <w:pPr>
              <w:spacing w:after="0"/>
              <w:jc w:val="center"/>
              <w:rPr>
                <w:rFonts w:ascii="Times New Roman" w:hAnsi="Times New Roman" w:cs="Times New Roman"/>
                <w:sz w:val="18"/>
                <w:szCs w:val="18"/>
                <w:lang w:val="ro-MD"/>
              </w:rPr>
            </w:pPr>
          </w:p>
        </w:tc>
        <w:tc>
          <w:tcPr>
            <w:tcW w:w="1134" w:type="dxa"/>
            <w:vAlign w:val="center"/>
          </w:tcPr>
          <w:p w14:paraId="5E59ABD2" w14:textId="77777777" w:rsidR="000A7F0B" w:rsidRPr="00483DC7" w:rsidRDefault="000A7F0B" w:rsidP="000A7F0B">
            <w:pPr>
              <w:spacing w:after="0"/>
              <w:jc w:val="center"/>
              <w:rPr>
                <w:rFonts w:ascii="Times New Roman" w:hAnsi="Times New Roman" w:cs="Times New Roman"/>
                <w:sz w:val="18"/>
                <w:szCs w:val="18"/>
                <w:lang w:val="ro-MD"/>
              </w:rPr>
            </w:pPr>
          </w:p>
        </w:tc>
        <w:tc>
          <w:tcPr>
            <w:tcW w:w="1316" w:type="dxa"/>
            <w:vAlign w:val="center"/>
          </w:tcPr>
          <w:p w14:paraId="31218D1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12" w:type="dxa"/>
            <w:vAlign w:val="center"/>
          </w:tcPr>
          <w:p w14:paraId="6F2E006B"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249" w:type="dxa"/>
            <w:vAlign w:val="center"/>
          </w:tcPr>
          <w:p w14:paraId="52D30600" w14:textId="77777777" w:rsidR="000A7F0B" w:rsidRPr="00483DC7" w:rsidRDefault="000A7F0B" w:rsidP="000A7F0B">
            <w:pPr>
              <w:spacing w:after="0"/>
              <w:jc w:val="center"/>
              <w:rPr>
                <w:rFonts w:ascii="Times New Roman" w:hAnsi="Times New Roman" w:cs="Times New Roman"/>
                <w:sz w:val="18"/>
                <w:szCs w:val="18"/>
                <w:lang w:val="ro-MD"/>
              </w:rPr>
            </w:pPr>
          </w:p>
        </w:tc>
        <w:tc>
          <w:tcPr>
            <w:tcW w:w="786" w:type="dxa"/>
            <w:vAlign w:val="center"/>
          </w:tcPr>
          <w:p w14:paraId="049A150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67" w:type="dxa"/>
            <w:vAlign w:val="center"/>
          </w:tcPr>
          <w:p w14:paraId="26257E05" w14:textId="77777777" w:rsidR="000A7F0B" w:rsidRPr="00483DC7" w:rsidRDefault="000A7F0B" w:rsidP="000A7F0B">
            <w:pPr>
              <w:spacing w:after="0"/>
              <w:jc w:val="center"/>
              <w:rPr>
                <w:rFonts w:ascii="Times New Roman" w:hAnsi="Times New Roman" w:cs="Times New Roman"/>
                <w:sz w:val="18"/>
                <w:szCs w:val="18"/>
                <w:lang w:val="ro-MD"/>
              </w:rPr>
            </w:pPr>
          </w:p>
        </w:tc>
        <w:tc>
          <w:tcPr>
            <w:tcW w:w="808" w:type="dxa"/>
            <w:vAlign w:val="center"/>
          </w:tcPr>
          <w:p w14:paraId="07603C71" w14:textId="77777777" w:rsidR="000A7F0B" w:rsidRPr="00483DC7" w:rsidRDefault="000A7F0B" w:rsidP="000A7F0B">
            <w:pPr>
              <w:spacing w:after="0"/>
              <w:jc w:val="center"/>
              <w:rPr>
                <w:rFonts w:ascii="Times New Roman" w:hAnsi="Times New Roman" w:cs="Times New Roman"/>
                <w:sz w:val="18"/>
                <w:szCs w:val="18"/>
                <w:lang w:val="ro-MD"/>
              </w:rPr>
            </w:pPr>
          </w:p>
        </w:tc>
      </w:tr>
      <w:tr w:rsidR="000A7F0B" w:rsidRPr="00483DC7" w14:paraId="64877F89" w14:textId="77777777" w:rsidTr="000A7F0B">
        <w:tc>
          <w:tcPr>
            <w:tcW w:w="1928" w:type="dxa"/>
            <w:vAlign w:val="center"/>
          </w:tcPr>
          <w:p w14:paraId="7830472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Parlament</w:t>
            </w:r>
          </w:p>
        </w:tc>
        <w:tc>
          <w:tcPr>
            <w:tcW w:w="1256" w:type="dxa"/>
            <w:vAlign w:val="center"/>
          </w:tcPr>
          <w:p w14:paraId="6F271A9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3</w:t>
            </w:r>
          </w:p>
        </w:tc>
        <w:tc>
          <w:tcPr>
            <w:tcW w:w="779" w:type="dxa"/>
            <w:vAlign w:val="center"/>
          </w:tcPr>
          <w:p w14:paraId="4A339793" w14:textId="77777777" w:rsidR="000A7F0B" w:rsidRPr="00483DC7" w:rsidRDefault="000A7F0B" w:rsidP="000A7F0B">
            <w:pPr>
              <w:spacing w:after="0"/>
              <w:jc w:val="center"/>
              <w:rPr>
                <w:rFonts w:ascii="Times New Roman" w:hAnsi="Times New Roman" w:cs="Times New Roman"/>
                <w:sz w:val="18"/>
                <w:szCs w:val="18"/>
                <w:lang w:val="ro-MD"/>
              </w:rPr>
            </w:pPr>
          </w:p>
        </w:tc>
        <w:tc>
          <w:tcPr>
            <w:tcW w:w="857" w:type="dxa"/>
            <w:vAlign w:val="center"/>
          </w:tcPr>
          <w:p w14:paraId="384ACD53" w14:textId="77777777" w:rsidR="000A7F0B" w:rsidRPr="00483DC7" w:rsidRDefault="000A7F0B" w:rsidP="000A7F0B">
            <w:pPr>
              <w:spacing w:after="0"/>
              <w:jc w:val="center"/>
              <w:rPr>
                <w:rFonts w:ascii="Times New Roman" w:hAnsi="Times New Roman" w:cs="Times New Roman"/>
                <w:sz w:val="18"/>
                <w:szCs w:val="18"/>
                <w:lang w:val="ro-MD"/>
              </w:rPr>
            </w:pPr>
          </w:p>
        </w:tc>
        <w:tc>
          <w:tcPr>
            <w:tcW w:w="848" w:type="dxa"/>
            <w:vAlign w:val="center"/>
          </w:tcPr>
          <w:p w14:paraId="28B3CAB6" w14:textId="77777777" w:rsidR="000A7F0B" w:rsidRPr="00483DC7" w:rsidRDefault="000A7F0B" w:rsidP="000A7F0B">
            <w:pPr>
              <w:spacing w:after="0"/>
              <w:jc w:val="center"/>
              <w:rPr>
                <w:rFonts w:ascii="Times New Roman" w:hAnsi="Times New Roman" w:cs="Times New Roman"/>
                <w:sz w:val="18"/>
                <w:szCs w:val="18"/>
                <w:lang w:val="ro-MD"/>
              </w:rPr>
            </w:pPr>
          </w:p>
        </w:tc>
        <w:tc>
          <w:tcPr>
            <w:tcW w:w="993" w:type="dxa"/>
            <w:vAlign w:val="center"/>
          </w:tcPr>
          <w:p w14:paraId="14746EA1" w14:textId="77777777" w:rsidR="000A7F0B" w:rsidRPr="00483DC7" w:rsidRDefault="000A7F0B" w:rsidP="000A7F0B">
            <w:pPr>
              <w:spacing w:after="0"/>
              <w:jc w:val="center"/>
              <w:rPr>
                <w:rFonts w:ascii="Times New Roman" w:hAnsi="Times New Roman" w:cs="Times New Roman"/>
                <w:sz w:val="18"/>
                <w:szCs w:val="18"/>
                <w:lang w:val="ro-MD"/>
              </w:rPr>
            </w:pPr>
          </w:p>
        </w:tc>
        <w:tc>
          <w:tcPr>
            <w:tcW w:w="1134" w:type="dxa"/>
            <w:vAlign w:val="center"/>
          </w:tcPr>
          <w:p w14:paraId="51C4C70B" w14:textId="77777777" w:rsidR="000A7F0B" w:rsidRPr="00483DC7" w:rsidRDefault="000A7F0B" w:rsidP="000A7F0B">
            <w:pPr>
              <w:spacing w:after="0"/>
              <w:jc w:val="center"/>
              <w:rPr>
                <w:rFonts w:ascii="Times New Roman" w:hAnsi="Times New Roman" w:cs="Times New Roman"/>
                <w:sz w:val="18"/>
                <w:szCs w:val="18"/>
                <w:lang w:val="ro-MD"/>
              </w:rPr>
            </w:pPr>
          </w:p>
        </w:tc>
        <w:tc>
          <w:tcPr>
            <w:tcW w:w="1316" w:type="dxa"/>
            <w:vAlign w:val="center"/>
          </w:tcPr>
          <w:p w14:paraId="0514BF73"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12" w:type="dxa"/>
            <w:vAlign w:val="center"/>
          </w:tcPr>
          <w:p w14:paraId="08015913" w14:textId="77777777" w:rsidR="000A7F0B" w:rsidRPr="00483DC7" w:rsidRDefault="000A7F0B" w:rsidP="000A7F0B">
            <w:pPr>
              <w:spacing w:after="0"/>
              <w:jc w:val="center"/>
              <w:rPr>
                <w:rFonts w:ascii="Times New Roman" w:hAnsi="Times New Roman" w:cs="Times New Roman"/>
                <w:sz w:val="18"/>
                <w:szCs w:val="18"/>
                <w:lang w:val="ro-MD"/>
              </w:rPr>
            </w:pPr>
          </w:p>
        </w:tc>
        <w:tc>
          <w:tcPr>
            <w:tcW w:w="1249" w:type="dxa"/>
            <w:vAlign w:val="center"/>
          </w:tcPr>
          <w:p w14:paraId="36C2ED8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786" w:type="dxa"/>
            <w:vAlign w:val="center"/>
          </w:tcPr>
          <w:p w14:paraId="6F1EC2F5"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367" w:type="dxa"/>
            <w:vAlign w:val="center"/>
          </w:tcPr>
          <w:p w14:paraId="0A2A2153" w14:textId="77777777" w:rsidR="000A7F0B" w:rsidRPr="00483DC7" w:rsidRDefault="000A7F0B" w:rsidP="000A7F0B">
            <w:pPr>
              <w:spacing w:after="0"/>
              <w:jc w:val="center"/>
              <w:rPr>
                <w:rFonts w:ascii="Times New Roman" w:hAnsi="Times New Roman" w:cs="Times New Roman"/>
                <w:sz w:val="18"/>
                <w:szCs w:val="18"/>
                <w:lang w:val="ro-MD"/>
              </w:rPr>
            </w:pPr>
          </w:p>
        </w:tc>
        <w:tc>
          <w:tcPr>
            <w:tcW w:w="808" w:type="dxa"/>
            <w:vAlign w:val="center"/>
          </w:tcPr>
          <w:p w14:paraId="0D4D2B6C" w14:textId="77777777" w:rsidR="000A7F0B" w:rsidRPr="00483DC7" w:rsidRDefault="000A7F0B" w:rsidP="000A7F0B">
            <w:pPr>
              <w:spacing w:after="0"/>
              <w:jc w:val="center"/>
              <w:rPr>
                <w:rFonts w:ascii="Times New Roman" w:hAnsi="Times New Roman" w:cs="Times New Roman"/>
                <w:sz w:val="18"/>
                <w:szCs w:val="18"/>
                <w:lang w:val="ro-MD"/>
              </w:rPr>
            </w:pPr>
          </w:p>
        </w:tc>
      </w:tr>
      <w:tr w:rsidR="000A7F0B" w:rsidRPr="00483DC7" w14:paraId="6C412B10" w14:textId="77777777" w:rsidTr="000A7F0B">
        <w:tc>
          <w:tcPr>
            <w:tcW w:w="1928" w:type="dxa"/>
            <w:vAlign w:val="center"/>
          </w:tcPr>
          <w:p w14:paraId="3D34988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Alte ministere (MIDR, MM, MS, ME, MJ)</w:t>
            </w:r>
          </w:p>
        </w:tc>
        <w:tc>
          <w:tcPr>
            <w:tcW w:w="1256" w:type="dxa"/>
            <w:vAlign w:val="center"/>
          </w:tcPr>
          <w:p w14:paraId="25CCC3F2" w14:textId="77777777" w:rsidR="000A7F0B" w:rsidRPr="00483DC7" w:rsidRDefault="000A7F0B" w:rsidP="000850C2">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1</w:t>
            </w:r>
            <w:r w:rsidR="000850C2" w:rsidRPr="00483DC7">
              <w:rPr>
                <w:rFonts w:ascii="Times New Roman" w:hAnsi="Times New Roman" w:cs="Times New Roman"/>
                <w:b/>
                <w:sz w:val="18"/>
                <w:szCs w:val="18"/>
                <w:lang w:val="ro-MD"/>
              </w:rPr>
              <w:t>1</w:t>
            </w:r>
          </w:p>
        </w:tc>
        <w:tc>
          <w:tcPr>
            <w:tcW w:w="779" w:type="dxa"/>
            <w:vAlign w:val="center"/>
          </w:tcPr>
          <w:p w14:paraId="3B85DE46" w14:textId="77777777" w:rsidR="000A7F0B" w:rsidRPr="00483DC7" w:rsidRDefault="000A7F0B" w:rsidP="000A7F0B">
            <w:pPr>
              <w:spacing w:after="0"/>
              <w:jc w:val="center"/>
              <w:rPr>
                <w:rFonts w:ascii="Times New Roman" w:hAnsi="Times New Roman" w:cs="Times New Roman"/>
                <w:sz w:val="18"/>
                <w:szCs w:val="18"/>
                <w:lang w:val="ro-MD"/>
              </w:rPr>
            </w:pPr>
          </w:p>
        </w:tc>
        <w:tc>
          <w:tcPr>
            <w:tcW w:w="857" w:type="dxa"/>
            <w:vAlign w:val="center"/>
          </w:tcPr>
          <w:p w14:paraId="19AD0896" w14:textId="77777777" w:rsidR="000A7F0B" w:rsidRPr="00483DC7" w:rsidRDefault="000A7F0B" w:rsidP="000A7F0B">
            <w:pPr>
              <w:spacing w:after="0"/>
              <w:jc w:val="center"/>
              <w:rPr>
                <w:rFonts w:ascii="Times New Roman" w:hAnsi="Times New Roman" w:cs="Times New Roman"/>
                <w:sz w:val="18"/>
                <w:szCs w:val="18"/>
                <w:lang w:val="ro-MD"/>
              </w:rPr>
            </w:pPr>
          </w:p>
        </w:tc>
        <w:tc>
          <w:tcPr>
            <w:tcW w:w="848" w:type="dxa"/>
            <w:vAlign w:val="center"/>
          </w:tcPr>
          <w:p w14:paraId="1E2F1E36"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993" w:type="dxa"/>
            <w:vAlign w:val="center"/>
          </w:tcPr>
          <w:p w14:paraId="10A6CE8B" w14:textId="77777777" w:rsidR="000A7F0B" w:rsidRPr="00483DC7" w:rsidRDefault="000A7F0B" w:rsidP="000A7F0B">
            <w:pPr>
              <w:spacing w:after="0"/>
              <w:jc w:val="center"/>
              <w:rPr>
                <w:rFonts w:ascii="Times New Roman" w:hAnsi="Times New Roman" w:cs="Times New Roman"/>
                <w:sz w:val="18"/>
                <w:szCs w:val="18"/>
                <w:lang w:val="ro-MD"/>
              </w:rPr>
            </w:pPr>
          </w:p>
        </w:tc>
        <w:tc>
          <w:tcPr>
            <w:tcW w:w="1134" w:type="dxa"/>
            <w:vAlign w:val="center"/>
          </w:tcPr>
          <w:p w14:paraId="6A4E6490" w14:textId="77777777" w:rsidR="000A7F0B" w:rsidRPr="00483DC7" w:rsidRDefault="000850C2"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1316" w:type="dxa"/>
            <w:vAlign w:val="center"/>
          </w:tcPr>
          <w:p w14:paraId="5C74DFBF" w14:textId="77777777" w:rsidR="000A7F0B" w:rsidRPr="00483DC7" w:rsidRDefault="000A7F0B" w:rsidP="000A7F0B">
            <w:pPr>
              <w:spacing w:after="0"/>
              <w:jc w:val="center"/>
              <w:rPr>
                <w:rFonts w:ascii="Times New Roman" w:hAnsi="Times New Roman" w:cs="Times New Roman"/>
                <w:sz w:val="18"/>
                <w:szCs w:val="18"/>
                <w:lang w:val="ro-MD"/>
              </w:rPr>
            </w:pPr>
          </w:p>
        </w:tc>
        <w:tc>
          <w:tcPr>
            <w:tcW w:w="812" w:type="dxa"/>
            <w:vAlign w:val="center"/>
          </w:tcPr>
          <w:p w14:paraId="0AB890C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4</w:t>
            </w:r>
          </w:p>
        </w:tc>
        <w:tc>
          <w:tcPr>
            <w:tcW w:w="1249" w:type="dxa"/>
            <w:vAlign w:val="center"/>
          </w:tcPr>
          <w:p w14:paraId="65962B4E" w14:textId="77777777" w:rsidR="000A7F0B" w:rsidRPr="00483DC7" w:rsidRDefault="000A7F0B" w:rsidP="000A7F0B">
            <w:pPr>
              <w:spacing w:after="0"/>
              <w:jc w:val="center"/>
              <w:rPr>
                <w:rFonts w:ascii="Times New Roman" w:hAnsi="Times New Roman" w:cs="Times New Roman"/>
                <w:sz w:val="18"/>
                <w:szCs w:val="18"/>
                <w:lang w:val="ro-MD"/>
              </w:rPr>
            </w:pPr>
          </w:p>
        </w:tc>
        <w:tc>
          <w:tcPr>
            <w:tcW w:w="786" w:type="dxa"/>
            <w:vAlign w:val="center"/>
          </w:tcPr>
          <w:p w14:paraId="4D083E74" w14:textId="77777777" w:rsidR="000A7F0B" w:rsidRPr="00483DC7" w:rsidRDefault="000A7F0B" w:rsidP="000A7F0B">
            <w:pPr>
              <w:spacing w:after="0"/>
              <w:jc w:val="center"/>
              <w:rPr>
                <w:rFonts w:ascii="Times New Roman" w:hAnsi="Times New Roman" w:cs="Times New Roman"/>
                <w:sz w:val="18"/>
                <w:szCs w:val="18"/>
                <w:lang w:val="ro-MD"/>
              </w:rPr>
            </w:pPr>
          </w:p>
        </w:tc>
        <w:tc>
          <w:tcPr>
            <w:tcW w:w="1367" w:type="dxa"/>
            <w:vAlign w:val="center"/>
          </w:tcPr>
          <w:p w14:paraId="5050D04A"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808" w:type="dxa"/>
            <w:vAlign w:val="center"/>
          </w:tcPr>
          <w:p w14:paraId="4753932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1E69F32A" w14:textId="77777777" w:rsidTr="000A7F0B">
        <w:tc>
          <w:tcPr>
            <w:tcW w:w="1928" w:type="dxa"/>
            <w:vAlign w:val="center"/>
          </w:tcPr>
          <w:p w14:paraId="1B1DF43C"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Alte instituții</w:t>
            </w:r>
          </w:p>
        </w:tc>
        <w:tc>
          <w:tcPr>
            <w:tcW w:w="1256" w:type="dxa"/>
            <w:vAlign w:val="center"/>
          </w:tcPr>
          <w:p w14:paraId="672F592B"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20</w:t>
            </w:r>
          </w:p>
        </w:tc>
        <w:tc>
          <w:tcPr>
            <w:tcW w:w="779" w:type="dxa"/>
            <w:vAlign w:val="center"/>
          </w:tcPr>
          <w:p w14:paraId="1E7CA961"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857" w:type="dxa"/>
            <w:vAlign w:val="center"/>
          </w:tcPr>
          <w:p w14:paraId="2F7AB127" w14:textId="77777777" w:rsidR="000A7F0B" w:rsidRPr="00483DC7" w:rsidRDefault="000A7F0B" w:rsidP="000A7F0B">
            <w:pPr>
              <w:spacing w:after="0"/>
              <w:jc w:val="center"/>
              <w:rPr>
                <w:rFonts w:ascii="Times New Roman" w:hAnsi="Times New Roman" w:cs="Times New Roman"/>
                <w:sz w:val="18"/>
                <w:szCs w:val="18"/>
                <w:lang w:val="ro-MD"/>
              </w:rPr>
            </w:pPr>
          </w:p>
        </w:tc>
        <w:tc>
          <w:tcPr>
            <w:tcW w:w="848" w:type="dxa"/>
            <w:vAlign w:val="center"/>
          </w:tcPr>
          <w:p w14:paraId="10EAE08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3</w:t>
            </w:r>
          </w:p>
        </w:tc>
        <w:tc>
          <w:tcPr>
            <w:tcW w:w="993" w:type="dxa"/>
            <w:vAlign w:val="center"/>
          </w:tcPr>
          <w:p w14:paraId="1DB3D609"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134" w:type="dxa"/>
            <w:vAlign w:val="center"/>
          </w:tcPr>
          <w:p w14:paraId="1726E5F2"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1316" w:type="dxa"/>
            <w:vAlign w:val="center"/>
          </w:tcPr>
          <w:p w14:paraId="4A50441D"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2</w:t>
            </w:r>
          </w:p>
        </w:tc>
        <w:tc>
          <w:tcPr>
            <w:tcW w:w="812" w:type="dxa"/>
            <w:vAlign w:val="center"/>
          </w:tcPr>
          <w:p w14:paraId="0451E627"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1249" w:type="dxa"/>
            <w:vAlign w:val="center"/>
          </w:tcPr>
          <w:p w14:paraId="54F722EF"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786" w:type="dxa"/>
            <w:vAlign w:val="center"/>
          </w:tcPr>
          <w:p w14:paraId="28041094"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4</w:t>
            </w:r>
          </w:p>
        </w:tc>
        <w:tc>
          <w:tcPr>
            <w:tcW w:w="1367" w:type="dxa"/>
            <w:vAlign w:val="center"/>
          </w:tcPr>
          <w:p w14:paraId="3EFCCADE"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c>
          <w:tcPr>
            <w:tcW w:w="808" w:type="dxa"/>
            <w:vAlign w:val="center"/>
          </w:tcPr>
          <w:p w14:paraId="02FF7CF8" w14:textId="77777777" w:rsidR="000A7F0B" w:rsidRPr="00483DC7" w:rsidRDefault="000A7F0B" w:rsidP="000A7F0B">
            <w:pPr>
              <w:spacing w:after="0"/>
              <w:jc w:val="center"/>
              <w:rPr>
                <w:rFonts w:ascii="Times New Roman" w:hAnsi="Times New Roman" w:cs="Times New Roman"/>
                <w:sz w:val="18"/>
                <w:szCs w:val="18"/>
                <w:lang w:val="ro-MD"/>
              </w:rPr>
            </w:pPr>
            <w:r w:rsidRPr="00483DC7">
              <w:rPr>
                <w:rFonts w:ascii="Times New Roman" w:hAnsi="Times New Roman" w:cs="Times New Roman"/>
                <w:sz w:val="18"/>
                <w:szCs w:val="18"/>
                <w:lang w:val="ro-MD"/>
              </w:rPr>
              <w:t>1</w:t>
            </w:r>
          </w:p>
        </w:tc>
      </w:tr>
      <w:tr w:rsidR="000A7F0B" w:rsidRPr="00483DC7" w14:paraId="5871A6BC" w14:textId="77777777" w:rsidTr="000A7F0B">
        <w:tc>
          <w:tcPr>
            <w:tcW w:w="1928" w:type="dxa"/>
            <w:shd w:val="clear" w:color="auto" w:fill="FFF2CC" w:themeFill="accent4" w:themeFillTint="33"/>
            <w:vAlign w:val="center"/>
          </w:tcPr>
          <w:p w14:paraId="61A24728"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TOTAL</w:t>
            </w:r>
          </w:p>
        </w:tc>
        <w:tc>
          <w:tcPr>
            <w:tcW w:w="1256" w:type="dxa"/>
            <w:shd w:val="clear" w:color="auto" w:fill="FFF2CC" w:themeFill="accent4" w:themeFillTint="33"/>
            <w:vAlign w:val="center"/>
          </w:tcPr>
          <w:p w14:paraId="2990C384" w14:textId="77777777" w:rsidR="000A7F0B" w:rsidRPr="00483DC7" w:rsidRDefault="000850C2"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color w:val="000000" w:themeColor="text1"/>
                <w:sz w:val="18"/>
                <w:szCs w:val="18"/>
                <w:lang w:val="ro-MD"/>
              </w:rPr>
              <w:t>70</w:t>
            </w:r>
          </w:p>
        </w:tc>
        <w:tc>
          <w:tcPr>
            <w:tcW w:w="779" w:type="dxa"/>
            <w:shd w:val="clear" w:color="auto" w:fill="FFF2CC" w:themeFill="accent4" w:themeFillTint="33"/>
            <w:vAlign w:val="center"/>
          </w:tcPr>
          <w:p w14:paraId="31A96DB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7</w:t>
            </w:r>
          </w:p>
        </w:tc>
        <w:tc>
          <w:tcPr>
            <w:tcW w:w="857" w:type="dxa"/>
            <w:shd w:val="clear" w:color="auto" w:fill="FFF2CC" w:themeFill="accent4" w:themeFillTint="33"/>
            <w:vAlign w:val="center"/>
          </w:tcPr>
          <w:p w14:paraId="4BE2688F"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5</w:t>
            </w:r>
          </w:p>
        </w:tc>
        <w:tc>
          <w:tcPr>
            <w:tcW w:w="848" w:type="dxa"/>
            <w:shd w:val="clear" w:color="auto" w:fill="FFF2CC" w:themeFill="accent4" w:themeFillTint="33"/>
            <w:vAlign w:val="center"/>
          </w:tcPr>
          <w:p w14:paraId="47D20B71"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5</w:t>
            </w:r>
          </w:p>
        </w:tc>
        <w:tc>
          <w:tcPr>
            <w:tcW w:w="993" w:type="dxa"/>
            <w:shd w:val="clear" w:color="auto" w:fill="FFF2CC" w:themeFill="accent4" w:themeFillTint="33"/>
            <w:vAlign w:val="center"/>
          </w:tcPr>
          <w:p w14:paraId="600DD18E"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7</w:t>
            </w:r>
          </w:p>
        </w:tc>
        <w:tc>
          <w:tcPr>
            <w:tcW w:w="1134" w:type="dxa"/>
            <w:shd w:val="clear" w:color="auto" w:fill="FFF2CC" w:themeFill="accent4" w:themeFillTint="33"/>
            <w:vAlign w:val="center"/>
          </w:tcPr>
          <w:p w14:paraId="0D2D16D2" w14:textId="77777777" w:rsidR="000A7F0B" w:rsidRPr="00483DC7" w:rsidRDefault="000850C2"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7</w:t>
            </w:r>
          </w:p>
        </w:tc>
        <w:tc>
          <w:tcPr>
            <w:tcW w:w="1316" w:type="dxa"/>
            <w:shd w:val="clear" w:color="auto" w:fill="FFF2CC" w:themeFill="accent4" w:themeFillTint="33"/>
            <w:vAlign w:val="center"/>
          </w:tcPr>
          <w:p w14:paraId="15D12ECA"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9</w:t>
            </w:r>
          </w:p>
        </w:tc>
        <w:tc>
          <w:tcPr>
            <w:tcW w:w="812" w:type="dxa"/>
            <w:shd w:val="clear" w:color="auto" w:fill="FFF2CC" w:themeFill="accent4" w:themeFillTint="33"/>
            <w:vAlign w:val="center"/>
          </w:tcPr>
          <w:p w14:paraId="14FCAD37"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8</w:t>
            </w:r>
          </w:p>
        </w:tc>
        <w:tc>
          <w:tcPr>
            <w:tcW w:w="1249" w:type="dxa"/>
            <w:shd w:val="clear" w:color="auto" w:fill="FFF2CC" w:themeFill="accent4" w:themeFillTint="33"/>
            <w:vAlign w:val="center"/>
          </w:tcPr>
          <w:p w14:paraId="3C8DC270"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5</w:t>
            </w:r>
          </w:p>
        </w:tc>
        <w:tc>
          <w:tcPr>
            <w:tcW w:w="786" w:type="dxa"/>
            <w:shd w:val="clear" w:color="auto" w:fill="FFF2CC" w:themeFill="accent4" w:themeFillTint="33"/>
            <w:vAlign w:val="center"/>
          </w:tcPr>
          <w:p w14:paraId="25692A04"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9</w:t>
            </w:r>
          </w:p>
        </w:tc>
        <w:tc>
          <w:tcPr>
            <w:tcW w:w="1367" w:type="dxa"/>
            <w:shd w:val="clear" w:color="auto" w:fill="FFF2CC" w:themeFill="accent4" w:themeFillTint="33"/>
            <w:vAlign w:val="center"/>
          </w:tcPr>
          <w:p w14:paraId="4E7DA170"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5</w:t>
            </w:r>
          </w:p>
        </w:tc>
        <w:tc>
          <w:tcPr>
            <w:tcW w:w="808" w:type="dxa"/>
            <w:shd w:val="clear" w:color="auto" w:fill="FFF2CC" w:themeFill="accent4" w:themeFillTint="33"/>
            <w:vAlign w:val="center"/>
          </w:tcPr>
          <w:p w14:paraId="44A71230" w14:textId="77777777" w:rsidR="000A7F0B" w:rsidRPr="00483DC7" w:rsidRDefault="000A7F0B" w:rsidP="000A7F0B">
            <w:pPr>
              <w:spacing w:after="0"/>
              <w:jc w:val="center"/>
              <w:rPr>
                <w:rFonts w:ascii="Times New Roman" w:hAnsi="Times New Roman" w:cs="Times New Roman"/>
                <w:b/>
                <w:sz w:val="18"/>
                <w:szCs w:val="18"/>
                <w:lang w:val="ro-MD"/>
              </w:rPr>
            </w:pPr>
            <w:r w:rsidRPr="00483DC7">
              <w:rPr>
                <w:rFonts w:ascii="Times New Roman" w:hAnsi="Times New Roman" w:cs="Times New Roman"/>
                <w:b/>
                <w:sz w:val="18"/>
                <w:szCs w:val="18"/>
                <w:lang w:val="ro-MD"/>
              </w:rPr>
              <w:t>3</w:t>
            </w:r>
          </w:p>
        </w:tc>
      </w:tr>
    </w:tbl>
    <w:p w14:paraId="1B165856" w14:textId="77777777" w:rsidR="000A7F0B" w:rsidRPr="00483DC7" w:rsidRDefault="000A7F0B" w:rsidP="000A7F0B">
      <w:pPr>
        <w:pStyle w:val="Heading1"/>
        <w:rPr>
          <w:rFonts w:ascii="Times New Roman" w:hAnsi="Times New Roman" w:cs="Times New Roman"/>
          <w:b/>
          <w:color w:val="000000" w:themeColor="text1"/>
          <w:sz w:val="24"/>
          <w:szCs w:val="24"/>
          <w:lang w:val="ro-MD"/>
        </w:rPr>
        <w:sectPr w:rsidR="000A7F0B" w:rsidRPr="00483DC7" w:rsidSect="00052721">
          <w:pgSz w:w="15840" w:h="12240" w:orient="landscape" w:code="1"/>
          <w:pgMar w:top="1276" w:right="851" w:bottom="426" w:left="851" w:header="720" w:footer="73" w:gutter="0"/>
          <w:cols w:space="720"/>
          <w:docGrid w:linePitch="360"/>
        </w:sectPr>
      </w:pPr>
    </w:p>
    <w:p w14:paraId="43478D25" w14:textId="19ECAFC4" w:rsidR="000B393A" w:rsidRPr="00483DC7" w:rsidRDefault="000B393A" w:rsidP="008C7D35">
      <w:pPr>
        <w:pStyle w:val="Heading2"/>
        <w:spacing w:before="0" w:after="240"/>
        <w:rPr>
          <w:rFonts w:ascii="Times New Roman" w:hAnsi="Times New Roman" w:cs="Times New Roman"/>
          <w:sz w:val="24"/>
          <w:szCs w:val="24"/>
          <w:lang w:val="ro-MD"/>
        </w:rPr>
      </w:pPr>
      <w:bookmarkStart w:id="34" w:name="_Toc185943229"/>
      <w:r w:rsidRPr="00483DC7">
        <w:rPr>
          <w:rFonts w:ascii="Times New Roman" w:hAnsi="Times New Roman" w:cs="Times New Roman"/>
          <w:b/>
          <w:color w:val="auto"/>
          <w:sz w:val="24"/>
          <w:szCs w:val="24"/>
          <w:lang w:val="ro-MD"/>
        </w:rPr>
        <w:lastRenderedPageBreak/>
        <w:t>Anexa nr. 5:</w:t>
      </w:r>
      <w:r w:rsidRPr="00483DC7">
        <w:rPr>
          <w:rFonts w:ascii="Times New Roman" w:hAnsi="Times New Roman" w:cs="Times New Roman"/>
          <w:color w:val="auto"/>
          <w:sz w:val="24"/>
          <w:szCs w:val="24"/>
          <w:lang w:val="ro-MD"/>
        </w:rPr>
        <w:t xml:space="preserve"> Analiza indicatorilor financiari a</w:t>
      </w:r>
      <w:r w:rsidR="00C624F9">
        <w:rPr>
          <w:rFonts w:ascii="Times New Roman" w:hAnsi="Times New Roman" w:cs="Times New Roman"/>
          <w:color w:val="auto"/>
          <w:sz w:val="24"/>
          <w:szCs w:val="24"/>
          <w:lang w:val="ro-MD"/>
        </w:rPr>
        <w:t>i</w:t>
      </w:r>
      <w:r w:rsidRPr="00483DC7">
        <w:rPr>
          <w:rFonts w:ascii="Times New Roman" w:hAnsi="Times New Roman" w:cs="Times New Roman"/>
          <w:color w:val="auto"/>
          <w:sz w:val="24"/>
          <w:szCs w:val="24"/>
          <w:lang w:val="ro-MD"/>
        </w:rPr>
        <w:t xml:space="preserve"> UIPFAE pentru anii de gestiune 2022-2023</w:t>
      </w:r>
      <w:bookmarkEnd w:id="29"/>
      <w:bookmarkEnd w:id="34"/>
    </w:p>
    <w:tbl>
      <w:tblPr>
        <w:tblW w:w="14120" w:type="dxa"/>
        <w:tblInd w:w="-5" w:type="dxa"/>
        <w:tblLook w:val="04A0" w:firstRow="1" w:lastRow="0" w:firstColumn="1" w:lastColumn="0" w:noHBand="0" w:noVBand="1"/>
      </w:tblPr>
      <w:tblGrid>
        <w:gridCol w:w="562"/>
        <w:gridCol w:w="1565"/>
        <w:gridCol w:w="1424"/>
        <w:gridCol w:w="1552"/>
        <w:gridCol w:w="1433"/>
        <w:gridCol w:w="1402"/>
        <w:gridCol w:w="2119"/>
        <w:gridCol w:w="2134"/>
        <w:gridCol w:w="1929"/>
      </w:tblGrid>
      <w:tr w:rsidR="000B393A" w:rsidRPr="00483DC7" w14:paraId="5C149964" w14:textId="77777777" w:rsidTr="00705001">
        <w:trPr>
          <w:trHeight w:val="729"/>
        </w:trPr>
        <w:tc>
          <w:tcPr>
            <w:tcW w:w="562"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2AFE9D3C" w14:textId="444BC3F1" w:rsidR="000B393A" w:rsidRPr="00483DC7" w:rsidRDefault="000B393A" w:rsidP="00C624F9">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Nr. </w:t>
            </w:r>
            <w:r w:rsidR="00C624F9">
              <w:rPr>
                <w:rFonts w:ascii="Times New Roman" w:eastAsia="Times New Roman" w:hAnsi="Times New Roman" w:cs="Times New Roman"/>
                <w:b/>
                <w:bCs/>
                <w:color w:val="000000"/>
                <w:sz w:val="20"/>
                <w:szCs w:val="20"/>
                <w:lang w:val="ro-MD"/>
              </w:rPr>
              <w:t>crt.</w:t>
            </w:r>
          </w:p>
        </w:tc>
        <w:tc>
          <w:tcPr>
            <w:tcW w:w="1565"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4E2C3A5"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Denumirea UIPFAE</w:t>
            </w:r>
          </w:p>
        </w:tc>
        <w:tc>
          <w:tcPr>
            <w:tcW w:w="1424" w:type="dxa"/>
            <w:tcBorders>
              <w:top w:val="single" w:sz="4" w:space="0" w:color="auto"/>
              <w:left w:val="nil"/>
              <w:bottom w:val="single" w:sz="4" w:space="0" w:color="auto"/>
              <w:right w:val="single" w:sz="4" w:space="0" w:color="auto"/>
            </w:tcBorders>
            <w:shd w:val="clear" w:color="000000" w:fill="DEEAF6"/>
            <w:vAlign w:val="center"/>
            <w:hideMark/>
          </w:tcPr>
          <w:p w14:paraId="0A7830F0" w14:textId="35928C2E" w:rsidR="000B393A" w:rsidRPr="00483DC7" w:rsidRDefault="000B393A" w:rsidP="00C624F9">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Venituri </w:t>
            </w:r>
            <w:r w:rsidR="00C624F9">
              <w:rPr>
                <w:rFonts w:ascii="Times New Roman" w:eastAsia="Times New Roman" w:hAnsi="Times New Roman" w:cs="Times New Roman"/>
                <w:b/>
                <w:bCs/>
                <w:color w:val="000000"/>
                <w:sz w:val="20"/>
                <w:szCs w:val="20"/>
                <w:lang w:val="ro-MD"/>
              </w:rPr>
              <w:t>o</w:t>
            </w:r>
            <w:r w:rsidRPr="00483DC7">
              <w:rPr>
                <w:rFonts w:ascii="Times New Roman" w:eastAsia="Times New Roman" w:hAnsi="Times New Roman" w:cs="Times New Roman"/>
                <w:b/>
                <w:bCs/>
                <w:color w:val="000000"/>
                <w:sz w:val="20"/>
                <w:szCs w:val="20"/>
                <w:lang w:val="ro-MD"/>
              </w:rPr>
              <w:t>peraționale (mii lei)</w:t>
            </w:r>
          </w:p>
        </w:tc>
        <w:tc>
          <w:tcPr>
            <w:tcW w:w="1552" w:type="dxa"/>
            <w:tcBorders>
              <w:top w:val="single" w:sz="4" w:space="0" w:color="auto"/>
              <w:left w:val="nil"/>
              <w:bottom w:val="single" w:sz="4" w:space="0" w:color="auto"/>
              <w:right w:val="single" w:sz="4" w:space="0" w:color="auto"/>
            </w:tcBorders>
            <w:shd w:val="clear" w:color="000000" w:fill="DEEAF6"/>
            <w:vAlign w:val="center"/>
            <w:hideMark/>
          </w:tcPr>
          <w:p w14:paraId="3FFA302B" w14:textId="3760E8AD" w:rsidR="000B393A" w:rsidRPr="00483DC7" w:rsidRDefault="000B393A" w:rsidP="00C624F9">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Cheltuieli </w:t>
            </w:r>
            <w:r w:rsidR="00C624F9">
              <w:rPr>
                <w:rFonts w:ascii="Times New Roman" w:eastAsia="Times New Roman" w:hAnsi="Times New Roman" w:cs="Times New Roman"/>
                <w:b/>
                <w:bCs/>
                <w:color w:val="000000"/>
                <w:sz w:val="20"/>
                <w:szCs w:val="20"/>
                <w:lang w:val="ro-MD"/>
              </w:rPr>
              <w:t>o</w:t>
            </w:r>
            <w:r w:rsidRPr="00483DC7">
              <w:rPr>
                <w:rFonts w:ascii="Times New Roman" w:eastAsia="Times New Roman" w:hAnsi="Times New Roman" w:cs="Times New Roman"/>
                <w:b/>
                <w:bCs/>
                <w:color w:val="000000"/>
                <w:sz w:val="20"/>
                <w:szCs w:val="20"/>
                <w:lang w:val="ro-MD"/>
              </w:rPr>
              <w:t>peraționale (mii lei)</w:t>
            </w:r>
          </w:p>
        </w:tc>
        <w:tc>
          <w:tcPr>
            <w:tcW w:w="1433" w:type="dxa"/>
            <w:tcBorders>
              <w:top w:val="single" w:sz="4" w:space="0" w:color="auto"/>
              <w:left w:val="nil"/>
              <w:bottom w:val="single" w:sz="4" w:space="0" w:color="auto"/>
              <w:right w:val="single" w:sz="4" w:space="0" w:color="auto"/>
            </w:tcBorders>
            <w:shd w:val="clear" w:color="000000" w:fill="DEEAF6"/>
            <w:vAlign w:val="center"/>
            <w:hideMark/>
          </w:tcPr>
          <w:p w14:paraId="7C16B84F" w14:textId="1FBD9350" w:rsidR="000B393A" w:rsidRPr="00483DC7" w:rsidRDefault="000B393A" w:rsidP="00C624F9">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Active </w:t>
            </w:r>
            <w:r w:rsidR="00C624F9">
              <w:rPr>
                <w:rFonts w:ascii="Times New Roman" w:eastAsia="Times New Roman" w:hAnsi="Times New Roman" w:cs="Times New Roman"/>
                <w:b/>
                <w:bCs/>
                <w:color w:val="000000"/>
                <w:sz w:val="20"/>
                <w:szCs w:val="20"/>
                <w:lang w:val="ro-MD"/>
              </w:rPr>
              <w:t>n</w:t>
            </w:r>
            <w:r w:rsidRPr="00483DC7">
              <w:rPr>
                <w:rFonts w:ascii="Times New Roman" w:eastAsia="Times New Roman" w:hAnsi="Times New Roman" w:cs="Times New Roman"/>
                <w:b/>
                <w:bCs/>
                <w:color w:val="000000"/>
                <w:sz w:val="20"/>
                <w:szCs w:val="20"/>
                <w:lang w:val="ro-MD"/>
              </w:rPr>
              <w:t>efinanciare (mii lei)</w:t>
            </w:r>
          </w:p>
        </w:tc>
        <w:tc>
          <w:tcPr>
            <w:tcW w:w="1402" w:type="dxa"/>
            <w:tcBorders>
              <w:top w:val="single" w:sz="4" w:space="0" w:color="auto"/>
              <w:left w:val="nil"/>
              <w:bottom w:val="single" w:sz="4" w:space="0" w:color="auto"/>
              <w:right w:val="single" w:sz="4" w:space="0" w:color="auto"/>
            </w:tcBorders>
            <w:shd w:val="clear" w:color="000000" w:fill="DEEAF6"/>
            <w:vAlign w:val="center"/>
            <w:hideMark/>
          </w:tcPr>
          <w:p w14:paraId="0EA9B4F9" w14:textId="0BAB75AC" w:rsidR="000B393A" w:rsidRPr="00483DC7" w:rsidRDefault="000B393A" w:rsidP="00C624F9">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Active </w:t>
            </w:r>
            <w:r w:rsidR="00C624F9">
              <w:rPr>
                <w:rFonts w:ascii="Times New Roman" w:eastAsia="Times New Roman" w:hAnsi="Times New Roman" w:cs="Times New Roman"/>
                <w:b/>
                <w:bCs/>
                <w:color w:val="000000"/>
                <w:sz w:val="20"/>
                <w:szCs w:val="20"/>
                <w:lang w:val="ro-MD"/>
              </w:rPr>
              <w:t>f</w:t>
            </w:r>
            <w:r w:rsidRPr="00483DC7">
              <w:rPr>
                <w:rFonts w:ascii="Times New Roman" w:eastAsia="Times New Roman" w:hAnsi="Times New Roman" w:cs="Times New Roman"/>
                <w:b/>
                <w:bCs/>
                <w:color w:val="000000"/>
                <w:sz w:val="20"/>
                <w:szCs w:val="20"/>
                <w:lang w:val="ro-MD"/>
              </w:rPr>
              <w:t>inanciare (mii lei)</w:t>
            </w:r>
          </w:p>
        </w:tc>
        <w:tc>
          <w:tcPr>
            <w:tcW w:w="2119" w:type="dxa"/>
            <w:tcBorders>
              <w:top w:val="single" w:sz="4" w:space="0" w:color="auto"/>
              <w:left w:val="nil"/>
              <w:bottom w:val="single" w:sz="4" w:space="0" w:color="auto"/>
              <w:right w:val="single" w:sz="4" w:space="0" w:color="auto"/>
            </w:tcBorders>
            <w:shd w:val="clear" w:color="000000" w:fill="DEEAF6"/>
            <w:vAlign w:val="center"/>
            <w:hideMark/>
          </w:tcPr>
          <w:p w14:paraId="1F907B1E"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Datorii / </w:t>
            </w:r>
          </w:p>
          <w:p w14:paraId="04CFEC64"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împrumuturi externe </w:t>
            </w:r>
          </w:p>
          <w:p w14:paraId="37AC7E89"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(mii lei)</w:t>
            </w:r>
          </w:p>
        </w:tc>
        <w:tc>
          <w:tcPr>
            <w:tcW w:w="2134" w:type="dxa"/>
            <w:tcBorders>
              <w:top w:val="single" w:sz="4" w:space="0" w:color="auto"/>
              <w:left w:val="nil"/>
              <w:bottom w:val="single" w:sz="4" w:space="0" w:color="auto"/>
              <w:right w:val="single" w:sz="4" w:space="0" w:color="auto"/>
            </w:tcBorders>
            <w:shd w:val="clear" w:color="000000" w:fill="DEEAF6"/>
            <w:vAlign w:val="center"/>
            <w:hideMark/>
          </w:tcPr>
          <w:p w14:paraId="6F7F2F2C"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xml:space="preserve">Rezultatul perioadei de gestiune </w:t>
            </w:r>
          </w:p>
        </w:tc>
        <w:tc>
          <w:tcPr>
            <w:tcW w:w="192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7D41B047" w14:textId="77777777" w:rsidR="000B393A" w:rsidRPr="00483DC7" w:rsidRDefault="000B393A" w:rsidP="00705001">
            <w:pPr>
              <w:spacing w:after="0" w:line="240" w:lineRule="auto"/>
              <w:jc w:val="center"/>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Soldul la sfârșitul perioadei de gestiune (mii lei)</w:t>
            </w:r>
          </w:p>
        </w:tc>
      </w:tr>
      <w:tr w:rsidR="000B393A" w:rsidRPr="00483DC7" w14:paraId="134FC122" w14:textId="77777777" w:rsidTr="00705001">
        <w:trPr>
          <w:trHeight w:val="288"/>
        </w:trPr>
        <w:tc>
          <w:tcPr>
            <w:tcW w:w="2127" w:type="dxa"/>
            <w:gridSpan w:val="2"/>
            <w:tcBorders>
              <w:top w:val="nil"/>
              <w:left w:val="single" w:sz="4" w:space="0" w:color="auto"/>
              <w:bottom w:val="single" w:sz="4" w:space="0" w:color="auto"/>
              <w:right w:val="single" w:sz="4" w:space="0" w:color="auto"/>
            </w:tcBorders>
            <w:shd w:val="clear" w:color="auto" w:fill="FFF2CC" w:themeFill="accent4" w:themeFillTint="33"/>
            <w:vAlign w:val="center"/>
          </w:tcPr>
          <w:p w14:paraId="1D4D6613" w14:textId="77777777" w:rsidR="000B393A" w:rsidRPr="00483DC7" w:rsidRDefault="000B393A" w:rsidP="00705001">
            <w:pPr>
              <w:spacing w:after="0" w:line="240" w:lineRule="auto"/>
              <w:jc w:val="center"/>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TOTAL  pentru 2022</w:t>
            </w:r>
          </w:p>
        </w:tc>
        <w:tc>
          <w:tcPr>
            <w:tcW w:w="1424" w:type="dxa"/>
            <w:tcBorders>
              <w:top w:val="nil"/>
              <w:left w:val="nil"/>
              <w:bottom w:val="single" w:sz="4" w:space="0" w:color="auto"/>
              <w:right w:val="single" w:sz="4" w:space="0" w:color="auto"/>
            </w:tcBorders>
            <w:shd w:val="clear" w:color="auto" w:fill="FFF2CC" w:themeFill="accent4" w:themeFillTint="33"/>
            <w:vAlign w:val="center"/>
          </w:tcPr>
          <w:p w14:paraId="3D51AB16"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342.520,43</w:t>
            </w:r>
          </w:p>
        </w:tc>
        <w:tc>
          <w:tcPr>
            <w:tcW w:w="1552" w:type="dxa"/>
            <w:tcBorders>
              <w:top w:val="nil"/>
              <w:left w:val="nil"/>
              <w:bottom w:val="single" w:sz="4" w:space="0" w:color="auto"/>
              <w:right w:val="single" w:sz="4" w:space="0" w:color="auto"/>
            </w:tcBorders>
            <w:shd w:val="clear" w:color="auto" w:fill="FFF2CC" w:themeFill="accent4" w:themeFillTint="33"/>
            <w:vAlign w:val="center"/>
          </w:tcPr>
          <w:p w14:paraId="011D5013"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404.311,68</w:t>
            </w:r>
          </w:p>
        </w:tc>
        <w:tc>
          <w:tcPr>
            <w:tcW w:w="1433" w:type="dxa"/>
            <w:tcBorders>
              <w:top w:val="nil"/>
              <w:left w:val="nil"/>
              <w:bottom w:val="single" w:sz="4" w:space="0" w:color="auto"/>
              <w:right w:val="single" w:sz="4" w:space="0" w:color="auto"/>
            </w:tcBorders>
            <w:shd w:val="clear" w:color="auto" w:fill="FFF2CC" w:themeFill="accent4" w:themeFillTint="33"/>
            <w:vAlign w:val="center"/>
          </w:tcPr>
          <w:p w14:paraId="5C959DA7"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139.481,94</w:t>
            </w:r>
          </w:p>
        </w:tc>
        <w:tc>
          <w:tcPr>
            <w:tcW w:w="1402" w:type="dxa"/>
            <w:tcBorders>
              <w:top w:val="nil"/>
              <w:left w:val="nil"/>
              <w:bottom w:val="single" w:sz="4" w:space="0" w:color="auto"/>
              <w:right w:val="single" w:sz="4" w:space="0" w:color="auto"/>
            </w:tcBorders>
            <w:shd w:val="clear" w:color="auto" w:fill="FFF2CC" w:themeFill="accent4" w:themeFillTint="33"/>
            <w:vAlign w:val="center"/>
          </w:tcPr>
          <w:p w14:paraId="72CDE4B6"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-406.709,45</w:t>
            </w:r>
          </w:p>
        </w:tc>
        <w:tc>
          <w:tcPr>
            <w:tcW w:w="2119" w:type="dxa"/>
            <w:tcBorders>
              <w:top w:val="nil"/>
              <w:left w:val="nil"/>
              <w:bottom w:val="single" w:sz="4" w:space="0" w:color="auto"/>
              <w:right w:val="single" w:sz="4" w:space="0" w:color="auto"/>
            </w:tcBorders>
            <w:shd w:val="clear" w:color="auto" w:fill="FFF2CC" w:themeFill="accent4" w:themeFillTint="33"/>
            <w:vAlign w:val="center"/>
          </w:tcPr>
          <w:p w14:paraId="5FCC05A3"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693.699,45</w:t>
            </w:r>
          </w:p>
        </w:tc>
        <w:tc>
          <w:tcPr>
            <w:tcW w:w="2134" w:type="dxa"/>
            <w:tcBorders>
              <w:top w:val="nil"/>
              <w:left w:val="nil"/>
              <w:bottom w:val="single" w:sz="4" w:space="0" w:color="auto"/>
              <w:right w:val="single" w:sz="4" w:space="0" w:color="auto"/>
            </w:tcBorders>
            <w:shd w:val="clear" w:color="auto" w:fill="FFF2CC" w:themeFill="accent4" w:themeFillTint="33"/>
            <w:vAlign w:val="center"/>
          </w:tcPr>
          <w:p w14:paraId="3101313B"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85.716,81</w:t>
            </w:r>
          </w:p>
        </w:tc>
        <w:tc>
          <w:tcPr>
            <w:tcW w:w="1929" w:type="dxa"/>
            <w:tcBorders>
              <w:top w:val="nil"/>
              <w:left w:val="nil"/>
              <w:bottom w:val="single" w:sz="4" w:space="0" w:color="auto"/>
              <w:right w:val="single" w:sz="4" w:space="0" w:color="auto"/>
            </w:tcBorders>
            <w:shd w:val="clear" w:color="auto" w:fill="FFF2CC" w:themeFill="accent4" w:themeFillTint="33"/>
            <w:vAlign w:val="center"/>
          </w:tcPr>
          <w:p w14:paraId="15CA774F"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503.591,63</w:t>
            </w:r>
          </w:p>
        </w:tc>
      </w:tr>
      <w:tr w:rsidR="000B393A" w:rsidRPr="00483DC7" w14:paraId="5BDCEE1A" w14:textId="77777777" w:rsidTr="00705001">
        <w:trPr>
          <w:trHeight w:val="288"/>
        </w:trPr>
        <w:tc>
          <w:tcPr>
            <w:tcW w:w="562" w:type="dxa"/>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14:paraId="75B0E800"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w:t>
            </w:r>
          </w:p>
        </w:tc>
        <w:tc>
          <w:tcPr>
            <w:tcW w:w="1565"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EC1401D"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ADMA</w:t>
            </w:r>
          </w:p>
        </w:tc>
        <w:tc>
          <w:tcPr>
            <w:tcW w:w="1424" w:type="dxa"/>
            <w:tcBorders>
              <w:top w:val="single" w:sz="4" w:space="0" w:color="FFFFFF" w:themeColor="background1"/>
              <w:left w:val="nil"/>
              <w:bottom w:val="single" w:sz="4" w:space="0" w:color="auto"/>
              <w:right w:val="single" w:sz="4" w:space="0" w:color="auto"/>
            </w:tcBorders>
            <w:shd w:val="clear" w:color="auto" w:fill="auto"/>
            <w:vAlign w:val="center"/>
            <w:hideMark/>
          </w:tcPr>
          <w:p w14:paraId="76C5529A"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97.280,53</w:t>
            </w:r>
          </w:p>
        </w:tc>
        <w:tc>
          <w:tcPr>
            <w:tcW w:w="155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0AFED56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230.960,53</w:t>
            </w:r>
          </w:p>
        </w:tc>
        <w:tc>
          <w:tcPr>
            <w:tcW w:w="1433" w:type="dxa"/>
            <w:tcBorders>
              <w:top w:val="single" w:sz="4" w:space="0" w:color="FFFFFF" w:themeColor="background1"/>
              <w:left w:val="nil"/>
              <w:bottom w:val="single" w:sz="4" w:space="0" w:color="auto"/>
              <w:right w:val="single" w:sz="4" w:space="0" w:color="auto"/>
            </w:tcBorders>
            <w:shd w:val="clear" w:color="auto" w:fill="auto"/>
            <w:vAlign w:val="center"/>
            <w:hideMark/>
          </w:tcPr>
          <w:p w14:paraId="6D4CD8C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40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824613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19" w:type="dxa"/>
            <w:tcBorders>
              <w:top w:val="single" w:sz="4" w:space="0" w:color="FFFFFF" w:themeColor="background1"/>
              <w:left w:val="nil"/>
              <w:bottom w:val="single" w:sz="4" w:space="0" w:color="auto"/>
              <w:right w:val="single" w:sz="4" w:space="0" w:color="auto"/>
            </w:tcBorders>
            <w:shd w:val="clear" w:color="auto" w:fill="auto"/>
            <w:vAlign w:val="center"/>
            <w:hideMark/>
          </w:tcPr>
          <w:p w14:paraId="66B36E8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167.860,33</w:t>
            </w:r>
          </w:p>
        </w:tc>
        <w:tc>
          <w:tcPr>
            <w:tcW w:w="2134" w:type="dxa"/>
            <w:tcBorders>
              <w:top w:val="single" w:sz="4" w:space="0" w:color="FFFFFF" w:themeColor="background1"/>
              <w:left w:val="nil"/>
              <w:bottom w:val="single" w:sz="4" w:space="0" w:color="auto"/>
              <w:right w:val="single" w:sz="4" w:space="0" w:color="auto"/>
            </w:tcBorders>
            <w:shd w:val="clear" w:color="auto" w:fill="auto"/>
            <w:vAlign w:val="center"/>
            <w:hideMark/>
          </w:tcPr>
          <w:p w14:paraId="0CA4E7B3"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34.180,33</w:t>
            </w:r>
          </w:p>
        </w:tc>
        <w:tc>
          <w:tcPr>
            <w:tcW w:w="1929" w:type="dxa"/>
            <w:tcBorders>
              <w:top w:val="single" w:sz="4" w:space="0" w:color="FFFFFF" w:themeColor="background1"/>
              <w:left w:val="nil"/>
              <w:bottom w:val="single" w:sz="4" w:space="0" w:color="auto"/>
              <w:right w:val="single" w:sz="4" w:space="0" w:color="auto"/>
            </w:tcBorders>
            <w:shd w:val="clear" w:color="auto" w:fill="auto"/>
            <w:vAlign w:val="center"/>
            <w:hideMark/>
          </w:tcPr>
          <w:p w14:paraId="2D5974A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42.299,95</w:t>
            </w:r>
          </w:p>
        </w:tc>
      </w:tr>
      <w:tr w:rsidR="000B393A" w:rsidRPr="00483DC7" w14:paraId="27C89553"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A74791"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w:t>
            </w:r>
          </w:p>
        </w:tc>
        <w:tc>
          <w:tcPr>
            <w:tcW w:w="1565" w:type="dxa"/>
            <w:tcBorders>
              <w:top w:val="nil"/>
              <w:left w:val="nil"/>
              <w:bottom w:val="single" w:sz="4" w:space="0" w:color="auto"/>
              <w:right w:val="single" w:sz="4" w:space="0" w:color="auto"/>
            </w:tcBorders>
            <w:shd w:val="clear" w:color="auto" w:fill="auto"/>
            <w:vAlign w:val="center"/>
            <w:hideMark/>
          </w:tcPr>
          <w:p w14:paraId="3D7163A3"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OGPAE</w:t>
            </w:r>
          </w:p>
        </w:tc>
        <w:tc>
          <w:tcPr>
            <w:tcW w:w="1424" w:type="dxa"/>
            <w:tcBorders>
              <w:top w:val="nil"/>
              <w:left w:val="nil"/>
              <w:bottom w:val="single" w:sz="4" w:space="0" w:color="auto"/>
              <w:right w:val="single" w:sz="4" w:space="0" w:color="auto"/>
            </w:tcBorders>
            <w:shd w:val="clear" w:color="auto" w:fill="auto"/>
            <w:vAlign w:val="center"/>
            <w:hideMark/>
          </w:tcPr>
          <w:p w14:paraId="4208358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2.736,05</w:t>
            </w:r>
          </w:p>
        </w:tc>
        <w:tc>
          <w:tcPr>
            <w:tcW w:w="1552" w:type="dxa"/>
            <w:tcBorders>
              <w:top w:val="nil"/>
              <w:left w:val="nil"/>
              <w:bottom w:val="single" w:sz="4" w:space="0" w:color="auto"/>
              <w:right w:val="single" w:sz="4" w:space="0" w:color="auto"/>
            </w:tcBorders>
            <w:shd w:val="clear" w:color="auto" w:fill="auto"/>
            <w:vAlign w:val="center"/>
            <w:hideMark/>
          </w:tcPr>
          <w:p w14:paraId="4FF9BF8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4.152,19</w:t>
            </w:r>
          </w:p>
        </w:tc>
        <w:tc>
          <w:tcPr>
            <w:tcW w:w="1433" w:type="dxa"/>
            <w:tcBorders>
              <w:top w:val="nil"/>
              <w:left w:val="nil"/>
              <w:bottom w:val="single" w:sz="4" w:space="0" w:color="auto"/>
              <w:right w:val="single" w:sz="4" w:space="0" w:color="auto"/>
            </w:tcBorders>
            <w:shd w:val="clear" w:color="auto" w:fill="auto"/>
            <w:vAlign w:val="center"/>
            <w:hideMark/>
          </w:tcPr>
          <w:p w14:paraId="3B34745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589,42</w:t>
            </w:r>
          </w:p>
        </w:tc>
        <w:tc>
          <w:tcPr>
            <w:tcW w:w="1402" w:type="dxa"/>
            <w:tcBorders>
              <w:top w:val="nil"/>
              <w:left w:val="nil"/>
              <w:bottom w:val="single" w:sz="4" w:space="0" w:color="auto"/>
              <w:right w:val="single" w:sz="4" w:space="0" w:color="auto"/>
            </w:tcBorders>
            <w:shd w:val="clear" w:color="auto" w:fill="auto"/>
            <w:vAlign w:val="center"/>
            <w:hideMark/>
          </w:tcPr>
          <w:p w14:paraId="665FAAC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1.452,73</w:t>
            </w:r>
          </w:p>
        </w:tc>
        <w:tc>
          <w:tcPr>
            <w:tcW w:w="2119" w:type="dxa"/>
            <w:tcBorders>
              <w:top w:val="nil"/>
              <w:left w:val="nil"/>
              <w:bottom w:val="single" w:sz="4" w:space="0" w:color="auto"/>
              <w:right w:val="single" w:sz="4" w:space="0" w:color="auto"/>
            </w:tcBorders>
            <w:shd w:val="clear" w:color="auto" w:fill="auto"/>
            <w:vAlign w:val="center"/>
            <w:hideMark/>
          </w:tcPr>
          <w:p w14:paraId="7F26B20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nil"/>
              <w:left w:val="nil"/>
              <w:bottom w:val="single" w:sz="4" w:space="0" w:color="auto"/>
              <w:right w:val="single" w:sz="4" w:space="0" w:color="auto"/>
            </w:tcBorders>
            <w:shd w:val="clear" w:color="auto" w:fill="auto"/>
            <w:vAlign w:val="center"/>
            <w:hideMark/>
          </w:tcPr>
          <w:p w14:paraId="0A89E4A3"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-552,83</w:t>
            </w:r>
          </w:p>
        </w:tc>
        <w:tc>
          <w:tcPr>
            <w:tcW w:w="1929" w:type="dxa"/>
            <w:tcBorders>
              <w:top w:val="nil"/>
              <w:left w:val="nil"/>
              <w:bottom w:val="single" w:sz="4" w:space="0" w:color="auto"/>
              <w:right w:val="single" w:sz="4" w:space="0" w:color="auto"/>
            </w:tcBorders>
            <w:shd w:val="clear" w:color="auto" w:fill="auto"/>
            <w:vAlign w:val="center"/>
            <w:hideMark/>
          </w:tcPr>
          <w:p w14:paraId="6714E60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106.361,80</w:t>
            </w:r>
          </w:p>
        </w:tc>
      </w:tr>
      <w:tr w:rsidR="000B393A" w:rsidRPr="00483DC7" w14:paraId="04E003EF"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154647"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w:t>
            </w:r>
          </w:p>
        </w:tc>
        <w:tc>
          <w:tcPr>
            <w:tcW w:w="1565" w:type="dxa"/>
            <w:tcBorders>
              <w:top w:val="nil"/>
              <w:left w:val="nil"/>
              <w:bottom w:val="single" w:sz="4" w:space="0" w:color="auto"/>
              <w:right w:val="single" w:sz="4" w:space="0" w:color="auto"/>
            </w:tcBorders>
            <w:shd w:val="clear" w:color="auto" w:fill="auto"/>
            <w:vAlign w:val="center"/>
            <w:hideMark/>
          </w:tcPr>
          <w:p w14:paraId="2C35E351"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ONDRL</w:t>
            </w:r>
          </w:p>
        </w:tc>
        <w:tc>
          <w:tcPr>
            <w:tcW w:w="1424" w:type="dxa"/>
            <w:tcBorders>
              <w:top w:val="nil"/>
              <w:left w:val="nil"/>
              <w:bottom w:val="single" w:sz="4" w:space="0" w:color="auto"/>
              <w:right w:val="single" w:sz="4" w:space="0" w:color="auto"/>
            </w:tcBorders>
            <w:shd w:val="clear" w:color="auto" w:fill="auto"/>
            <w:vAlign w:val="center"/>
            <w:hideMark/>
          </w:tcPr>
          <w:p w14:paraId="2A5E65E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11.584,58</w:t>
            </w:r>
          </w:p>
        </w:tc>
        <w:tc>
          <w:tcPr>
            <w:tcW w:w="1552" w:type="dxa"/>
            <w:tcBorders>
              <w:top w:val="nil"/>
              <w:left w:val="nil"/>
              <w:bottom w:val="single" w:sz="4" w:space="0" w:color="auto"/>
              <w:right w:val="single" w:sz="4" w:space="0" w:color="auto"/>
            </w:tcBorders>
            <w:shd w:val="clear" w:color="auto" w:fill="auto"/>
            <w:vAlign w:val="center"/>
            <w:hideMark/>
          </w:tcPr>
          <w:p w14:paraId="02773F3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5.283,38</w:t>
            </w:r>
          </w:p>
        </w:tc>
        <w:tc>
          <w:tcPr>
            <w:tcW w:w="1433" w:type="dxa"/>
            <w:tcBorders>
              <w:top w:val="nil"/>
              <w:left w:val="nil"/>
              <w:bottom w:val="single" w:sz="4" w:space="0" w:color="auto"/>
              <w:right w:val="single" w:sz="4" w:space="0" w:color="auto"/>
            </w:tcBorders>
            <w:shd w:val="clear" w:color="auto" w:fill="auto"/>
            <w:vAlign w:val="center"/>
            <w:hideMark/>
          </w:tcPr>
          <w:p w14:paraId="33C09F4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26.400,71</w:t>
            </w:r>
          </w:p>
        </w:tc>
        <w:tc>
          <w:tcPr>
            <w:tcW w:w="1402" w:type="dxa"/>
            <w:tcBorders>
              <w:top w:val="nil"/>
              <w:left w:val="nil"/>
              <w:bottom w:val="single" w:sz="4" w:space="0" w:color="auto"/>
              <w:right w:val="single" w:sz="4" w:space="0" w:color="auto"/>
            </w:tcBorders>
            <w:shd w:val="clear" w:color="auto" w:fill="auto"/>
            <w:vAlign w:val="center"/>
            <w:hideMark/>
          </w:tcPr>
          <w:p w14:paraId="7FAA79F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716,17</w:t>
            </w:r>
          </w:p>
        </w:tc>
        <w:tc>
          <w:tcPr>
            <w:tcW w:w="2119" w:type="dxa"/>
            <w:tcBorders>
              <w:top w:val="nil"/>
              <w:left w:val="nil"/>
              <w:bottom w:val="single" w:sz="4" w:space="0" w:color="auto"/>
              <w:right w:val="single" w:sz="4" w:space="0" w:color="auto"/>
            </w:tcBorders>
            <w:shd w:val="clear" w:color="auto" w:fill="auto"/>
            <w:vAlign w:val="center"/>
            <w:hideMark/>
          </w:tcPr>
          <w:p w14:paraId="4A17265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103,19</w:t>
            </w:r>
          </w:p>
        </w:tc>
        <w:tc>
          <w:tcPr>
            <w:tcW w:w="2134" w:type="dxa"/>
            <w:tcBorders>
              <w:top w:val="nil"/>
              <w:left w:val="nil"/>
              <w:bottom w:val="single" w:sz="4" w:space="0" w:color="auto"/>
              <w:right w:val="single" w:sz="4" w:space="0" w:color="auto"/>
            </w:tcBorders>
            <w:shd w:val="clear" w:color="auto" w:fill="auto"/>
            <w:vAlign w:val="center"/>
            <w:hideMark/>
          </w:tcPr>
          <w:p w14:paraId="7527D25D"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-19.280,15</w:t>
            </w:r>
          </w:p>
        </w:tc>
        <w:tc>
          <w:tcPr>
            <w:tcW w:w="1929" w:type="dxa"/>
            <w:tcBorders>
              <w:top w:val="nil"/>
              <w:left w:val="nil"/>
              <w:bottom w:val="single" w:sz="4" w:space="0" w:color="auto"/>
              <w:right w:val="single" w:sz="4" w:space="0" w:color="auto"/>
            </w:tcBorders>
            <w:shd w:val="clear" w:color="auto" w:fill="auto"/>
            <w:vAlign w:val="center"/>
            <w:hideMark/>
          </w:tcPr>
          <w:p w14:paraId="13BE416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11.707,88</w:t>
            </w:r>
          </w:p>
        </w:tc>
      </w:tr>
      <w:tr w:rsidR="000B393A" w:rsidRPr="00483DC7" w14:paraId="6CA71056"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039070"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w:t>
            </w:r>
          </w:p>
        </w:tc>
        <w:tc>
          <w:tcPr>
            <w:tcW w:w="1565" w:type="dxa"/>
            <w:tcBorders>
              <w:top w:val="nil"/>
              <w:left w:val="nil"/>
              <w:bottom w:val="single" w:sz="4" w:space="0" w:color="auto"/>
              <w:right w:val="single" w:sz="4" w:space="0" w:color="auto"/>
            </w:tcBorders>
            <w:shd w:val="clear" w:color="auto" w:fill="auto"/>
            <w:vAlign w:val="center"/>
            <w:hideMark/>
          </w:tcPr>
          <w:p w14:paraId="20C8DD66"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ONIPM</w:t>
            </w:r>
          </w:p>
        </w:tc>
        <w:tc>
          <w:tcPr>
            <w:tcW w:w="1424" w:type="dxa"/>
            <w:tcBorders>
              <w:top w:val="nil"/>
              <w:left w:val="nil"/>
              <w:bottom w:val="single" w:sz="4" w:space="0" w:color="auto"/>
              <w:right w:val="single" w:sz="4" w:space="0" w:color="auto"/>
            </w:tcBorders>
            <w:shd w:val="clear" w:color="auto" w:fill="auto"/>
            <w:vAlign w:val="center"/>
            <w:hideMark/>
          </w:tcPr>
          <w:p w14:paraId="54E25B2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10.409,90</w:t>
            </w:r>
          </w:p>
        </w:tc>
        <w:tc>
          <w:tcPr>
            <w:tcW w:w="1552" w:type="dxa"/>
            <w:tcBorders>
              <w:top w:val="nil"/>
              <w:left w:val="nil"/>
              <w:bottom w:val="single" w:sz="4" w:space="0" w:color="auto"/>
              <w:right w:val="single" w:sz="4" w:space="0" w:color="auto"/>
            </w:tcBorders>
            <w:shd w:val="clear" w:color="auto" w:fill="auto"/>
            <w:vAlign w:val="center"/>
            <w:hideMark/>
          </w:tcPr>
          <w:p w14:paraId="0AD0FEB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9.873,91</w:t>
            </w:r>
          </w:p>
        </w:tc>
        <w:tc>
          <w:tcPr>
            <w:tcW w:w="1433" w:type="dxa"/>
            <w:tcBorders>
              <w:top w:val="nil"/>
              <w:left w:val="nil"/>
              <w:bottom w:val="single" w:sz="4" w:space="0" w:color="auto"/>
              <w:right w:val="single" w:sz="4" w:space="0" w:color="auto"/>
            </w:tcBorders>
            <w:shd w:val="clear" w:color="auto" w:fill="auto"/>
            <w:vAlign w:val="center"/>
            <w:hideMark/>
          </w:tcPr>
          <w:p w14:paraId="0EC8170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297,00</w:t>
            </w:r>
          </w:p>
        </w:tc>
        <w:tc>
          <w:tcPr>
            <w:tcW w:w="1402" w:type="dxa"/>
            <w:tcBorders>
              <w:top w:val="nil"/>
              <w:left w:val="nil"/>
              <w:bottom w:val="single" w:sz="4" w:space="0" w:color="auto"/>
              <w:right w:val="single" w:sz="4" w:space="0" w:color="auto"/>
            </w:tcBorders>
            <w:shd w:val="clear" w:color="auto" w:fill="auto"/>
            <w:vAlign w:val="center"/>
            <w:hideMark/>
          </w:tcPr>
          <w:p w14:paraId="2D2961D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149,20</w:t>
            </w:r>
          </w:p>
        </w:tc>
        <w:tc>
          <w:tcPr>
            <w:tcW w:w="2119" w:type="dxa"/>
            <w:tcBorders>
              <w:top w:val="nil"/>
              <w:left w:val="nil"/>
              <w:bottom w:val="single" w:sz="4" w:space="0" w:color="auto"/>
              <w:right w:val="single" w:sz="4" w:space="0" w:color="auto"/>
            </w:tcBorders>
            <w:shd w:val="clear" w:color="auto" w:fill="auto"/>
            <w:vAlign w:val="center"/>
            <w:hideMark/>
          </w:tcPr>
          <w:p w14:paraId="279BEC5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nil"/>
              <w:left w:val="nil"/>
              <w:bottom w:val="single" w:sz="4" w:space="0" w:color="auto"/>
              <w:right w:val="single" w:sz="4" w:space="0" w:color="auto"/>
            </w:tcBorders>
            <w:shd w:val="clear" w:color="auto" w:fill="auto"/>
            <w:vAlign w:val="center"/>
            <w:hideMark/>
          </w:tcPr>
          <w:p w14:paraId="23C7BBE0"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388,19</w:t>
            </w:r>
          </w:p>
        </w:tc>
        <w:tc>
          <w:tcPr>
            <w:tcW w:w="1929" w:type="dxa"/>
            <w:tcBorders>
              <w:top w:val="nil"/>
              <w:left w:val="nil"/>
              <w:bottom w:val="single" w:sz="4" w:space="0" w:color="auto"/>
              <w:right w:val="single" w:sz="4" w:space="0" w:color="auto"/>
            </w:tcBorders>
            <w:shd w:val="clear" w:color="auto" w:fill="auto"/>
            <w:vAlign w:val="center"/>
            <w:hideMark/>
          </w:tcPr>
          <w:p w14:paraId="407F3F2A"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4.309,79</w:t>
            </w:r>
          </w:p>
        </w:tc>
      </w:tr>
      <w:tr w:rsidR="000B393A" w:rsidRPr="00483DC7" w14:paraId="03300F11"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2AAA87"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w:t>
            </w:r>
          </w:p>
        </w:tc>
        <w:tc>
          <w:tcPr>
            <w:tcW w:w="1565" w:type="dxa"/>
            <w:tcBorders>
              <w:top w:val="nil"/>
              <w:left w:val="nil"/>
              <w:bottom w:val="single" w:sz="4" w:space="0" w:color="auto"/>
              <w:right w:val="single" w:sz="4" w:space="0" w:color="auto"/>
            </w:tcBorders>
            <w:shd w:val="clear" w:color="auto" w:fill="auto"/>
            <w:vAlign w:val="center"/>
            <w:hideMark/>
          </w:tcPr>
          <w:p w14:paraId="5FDCDD79"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UCIMPA</w:t>
            </w:r>
          </w:p>
        </w:tc>
        <w:tc>
          <w:tcPr>
            <w:tcW w:w="1424" w:type="dxa"/>
            <w:tcBorders>
              <w:top w:val="nil"/>
              <w:left w:val="nil"/>
              <w:bottom w:val="single" w:sz="4" w:space="0" w:color="auto"/>
              <w:right w:val="single" w:sz="4" w:space="0" w:color="auto"/>
            </w:tcBorders>
            <w:shd w:val="clear" w:color="auto" w:fill="auto"/>
            <w:vAlign w:val="center"/>
            <w:hideMark/>
          </w:tcPr>
          <w:p w14:paraId="3729626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2.899,34</w:t>
            </w:r>
          </w:p>
        </w:tc>
        <w:tc>
          <w:tcPr>
            <w:tcW w:w="1552" w:type="dxa"/>
            <w:tcBorders>
              <w:top w:val="nil"/>
              <w:left w:val="nil"/>
              <w:bottom w:val="single" w:sz="4" w:space="0" w:color="auto"/>
              <w:right w:val="single" w:sz="4" w:space="0" w:color="auto"/>
            </w:tcBorders>
            <w:shd w:val="clear" w:color="auto" w:fill="auto"/>
            <w:vAlign w:val="center"/>
            <w:hideMark/>
          </w:tcPr>
          <w:p w14:paraId="49B084B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7.629,50</w:t>
            </w:r>
          </w:p>
        </w:tc>
        <w:tc>
          <w:tcPr>
            <w:tcW w:w="1433" w:type="dxa"/>
            <w:tcBorders>
              <w:top w:val="nil"/>
              <w:left w:val="nil"/>
              <w:bottom w:val="single" w:sz="4" w:space="0" w:color="auto"/>
              <w:right w:val="single" w:sz="4" w:space="0" w:color="auto"/>
            </w:tcBorders>
            <w:shd w:val="clear" w:color="auto" w:fill="auto"/>
            <w:vAlign w:val="center"/>
            <w:hideMark/>
          </w:tcPr>
          <w:p w14:paraId="13DF8FD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9.954,65</w:t>
            </w:r>
          </w:p>
        </w:tc>
        <w:tc>
          <w:tcPr>
            <w:tcW w:w="1402" w:type="dxa"/>
            <w:tcBorders>
              <w:top w:val="nil"/>
              <w:left w:val="nil"/>
              <w:bottom w:val="single" w:sz="4" w:space="0" w:color="auto"/>
              <w:right w:val="single" w:sz="4" w:space="0" w:color="auto"/>
            </w:tcBorders>
            <w:shd w:val="clear" w:color="auto" w:fill="auto"/>
            <w:vAlign w:val="center"/>
            <w:hideMark/>
          </w:tcPr>
          <w:p w14:paraId="029EB3A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-190,40</w:t>
            </w:r>
          </w:p>
        </w:tc>
        <w:tc>
          <w:tcPr>
            <w:tcW w:w="2119" w:type="dxa"/>
            <w:tcBorders>
              <w:top w:val="nil"/>
              <w:left w:val="nil"/>
              <w:bottom w:val="single" w:sz="4" w:space="0" w:color="auto"/>
              <w:right w:val="single" w:sz="4" w:space="0" w:color="auto"/>
            </w:tcBorders>
            <w:shd w:val="clear" w:color="auto" w:fill="auto"/>
            <w:vAlign w:val="center"/>
            <w:hideMark/>
          </w:tcPr>
          <w:p w14:paraId="1D5FDC0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19.629,86</w:t>
            </w:r>
          </w:p>
        </w:tc>
        <w:tc>
          <w:tcPr>
            <w:tcW w:w="2134" w:type="dxa"/>
            <w:tcBorders>
              <w:top w:val="nil"/>
              <w:left w:val="nil"/>
              <w:bottom w:val="single" w:sz="4" w:space="0" w:color="auto"/>
              <w:right w:val="single" w:sz="4" w:space="0" w:color="auto"/>
            </w:tcBorders>
            <w:shd w:val="clear" w:color="auto" w:fill="auto"/>
            <w:vAlign w:val="center"/>
            <w:hideMark/>
          </w:tcPr>
          <w:p w14:paraId="0187B1EA"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4.754,65</w:t>
            </w:r>
          </w:p>
        </w:tc>
        <w:tc>
          <w:tcPr>
            <w:tcW w:w="1929" w:type="dxa"/>
            <w:tcBorders>
              <w:top w:val="nil"/>
              <w:left w:val="nil"/>
              <w:bottom w:val="single" w:sz="4" w:space="0" w:color="auto"/>
              <w:right w:val="single" w:sz="4" w:space="0" w:color="auto"/>
            </w:tcBorders>
            <w:shd w:val="clear" w:color="auto" w:fill="auto"/>
            <w:vAlign w:val="center"/>
            <w:hideMark/>
          </w:tcPr>
          <w:p w14:paraId="4DC1142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7.399,51</w:t>
            </w:r>
          </w:p>
        </w:tc>
      </w:tr>
      <w:tr w:rsidR="000B393A" w:rsidRPr="00483DC7" w14:paraId="1120D1E7"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BEC2C2"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w:t>
            </w:r>
          </w:p>
        </w:tc>
        <w:tc>
          <w:tcPr>
            <w:tcW w:w="1565" w:type="dxa"/>
            <w:tcBorders>
              <w:top w:val="nil"/>
              <w:left w:val="nil"/>
              <w:bottom w:val="single" w:sz="4" w:space="0" w:color="auto"/>
              <w:right w:val="single" w:sz="4" w:space="0" w:color="auto"/>
            </w:tcBorders>
            <w:shd w:val="clear" w:color="auto" w:fill="auto"/>
            <w:vAlign w:val="center"/>
            <w:hideMark/>
          </w:tcPr>
          <w:p w14:paraId="62428689"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 DS</w:t>
            </w:r>
          </w:p>
        </w:tc>
        <w:tc>
          <w:tcPr>
            <w:tcW w:w="1424" w:type="dxa"/>
            <w:tcBorders>
              <w:top w:val="nil"/>
              <w:left w:val="nil"/>
              <w:bottom w:val="single" w:sz="4" w:space="0" w:color="auto"/>
              <w:right w:val="single" w:sz="4" w:space="0" w:color="auto"/>
            </w:tcBorders>
            <w:shd w:val="clear" w:color="auto" w:fill="auto"/>
            <w:vAlign w:val="center"/>
            <w:hideMark/>
          </w:tcPr>
          <w:p w14:paraId="2D30227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179.760,15</w:t>
            </w:r>
          </w:p>
        </w:tc>
        <w:tc>
          <w:tcPr>
            <w:tcW w:w="1552" w:type="dxa"/>
            <w:tcBorders>
              <w:top w:val="nil"/>
              <w:left w:val="nil"/>
              <w:bottom w:val="single" w:sz="4" w:space="0" w:color="auto"/>
              <w:right w:val="single" w:sz="4" w:space="0" w:color="auto"/>
            </w:tcBorders>
            <w:shd w:val="clear" w:color="auto" w:fill="auto"/>
            <w:vAlign w:val="center"/>
            <w:hideMark/>
          </w:tcPr>
          <w:p w14:paraId="2AA804C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95.998,98</w:t>
            </w:r>
          </w:p>
        </w:tc>
        <w:tc>
          <w:tcPr>
            <w:tcW w:w="1433" w:type="dxa"/>
            <w:tcBorders>
              <w:top w:val="nil"/>
              <w:left w:val="nil"/>
              <w:bottom w:val="single" w:sz="4" w:space="0" w:color="auto"/>
              <w:right w:val="single" w:sz="4" w:space="0" w:color="auto"/>
            </w:tcBorders>
            <w:shd w:val="clear" w:color="auto" w:fill="auto"/>
            <w:vAlign w:val="center"/>
            <w:hideMark/>
          </w:tcPr>
          <w:p w14:paraId="0ACB36C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74.908,83</w:t>
            </w:r>
          </w:p>
        </w:tc>
        <w:tc>
          <w:tcPr>
            <w:tcW w:w="1402" w:type="dxa"/>
            <w:tcBorders>
              <w:top w:val="nil"/>
              <w:left w:val="nil"/>
              <w:bottom w:val="single" w:sz="4" w:space="0" w:color="auto"/>
              <w:right w:val="single" w:sz="4" w:space="0" w:color="auto"/>
            </w:tcBorders>
            <w:shd w:val="clear" w:color="auto" w:fill="auto"/>
            <w:vAlign w:val="center"/>
            <w:hideMark/>
          </w:tcPr>
          <w:p w14:paraId="31025CB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1.275,36</w:t>
            </w:r>
          </w:p>
        </w:tc>
        <w:tc>
          <w:tcPr>
            <w:tcW w:w="2119" w:type="dxa"/>
            <w:tcBorders>
              <w:top w:val="nil"/>
              <w:left w:val="nil"/>
              <w:bottom w:val="single" w:sz="4" w:space="0" w:color="auto"/>
              <w:right w:val="single" w:sz="4" w:space="0" w:color="auto"/>
            </w:tcBorders>
            <w:shd w:val="clear" w:color="auto" w:fill="auto"/>
            <w:vAlign w:val="center"/>
            <w:hideMark/>
          </w:tcPr>
          <w:p w14:paraId="42ACD20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nil"/>
              <w:left w:val="nil"/>
              <w:bottom w:val="single" w:sz="4" w:space="0" w:color="auto"/>
              <w:right w:val="single" w:sz="4" w:space="0" w:color="auto"/>
            </w:tcBorders>
            <w:shd w:val="clear" w:color="auto" w:fill="auto"/>
            <w:vAlign w:val="center"/>
            <w:hideMark/>
          </w:tcPr>
          <w:p w14:paraId="7B02D4D9"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10.127,70</w:t>
            </w:r>
          </w:p>
        </w:tc>
        <w:tc>
          <w:tcPr>
            <w:tcW w:w="1929" w:type="dxa"/>
            <w:tcBorders>
              <w:top w:val="nil"/>
              <w:left w:val="nil"/>
              <w:bottom w:val="single" w:sz="4" w:space="0" w:color="auto"/>
              <w:right w:val="single" w:sz="4" w:space="0" w:color="auto"/>
            </w:tcBorders>
            <w:shd w:val="clear" w:color="auto" w:fill="auto"/>
            <w:vAlign w:val="center"/>
            <w:hideMark/>
          </w:tcPr>
          <w:p w14:paraId="36AC756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61.412,17</w:t>
            </w:r>
          </w:p>
        </w:tc>
      </w:tr>
      <w:tr w:rsidR="000B393A" w:rsidRPr="00483DC7" w14:paraId="66BB3C67"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214A75"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w:t>
            </w:r>
          </w:p>
        </w:tc>
        <w:tc>
          <w:tcPr>
            <w:tcW w:w="1565" w:type="dxa"/>
            <w:tcBorders>
              <w:top w:val="nil"/>
              <w:left w:val="nil"/>
              <w:bottom w:val="single" w:sz="4" w:space="0" w:color="auto"/>
              <w:right w:val="single" w:sz="4" w:space="0" w:color="auto"/>
            </w:tcBorders>
            <w:shd w:val="clear" w:color="auto" w:fill="auto"/>
            <w:vAlign w:val="center"/>
            <w:hideMark/>
          </w:tcPr>
          <w:p w14:paraId="1F32458B"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UCIMPRSVV</w:t>
            </w:r>
          </w:p>
        </w:tc>
        <w:tc>
          <w:tcPr>
            <w:tcW w:w="1424" w:type="dxa"/>
            <w:tcBorders>
              <w:top w:val="nil"/>
              <w:left w:val="nil"/>
              <w:bottom w:val="single" w:sz="4" w:space="0" w:color="auto"/>
              <w:right w:val="single" w:sz="4" w:space="0" w:color="auto"/>
            </w:tcBorders>
            <w:shd w:val="clear" w:color="auto" w:fill="auto"/>
            <w:vAlign w:val="center"/>
            <w:hideMark/>
          </w:tcPr>
          <w:p w14:paraId="66A2B39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10.213,23</w:t>
            </w:r>
          </w:p>
        </w:tc>
        <w:tc>
          <w:tcPr>
            <w:tcW w:w="1552" w:type="dxa"/>
            <w:tcBorders>
              <w:top w:val="nil"/>
              <w:left w:val="nil"/>
              <w:bottom w:val="single" w:sz="4" w:space="0" w:color="auto"/>
              <w:right w:val="single" w:sz="4" w:space="0" w:color="auto"/>
            </w:tcBorders>
            <w:shd w:val="clear" w:color="auto" w:fill="auto"/>
            <w:vAlign w:val="center"/>
            <w:hideMark/>
          </w:tcPr>
          <w:p w14:paraId="0ACFCC3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9.302,22</w:t>
            </w:r>
          </w:p>
        </w:tc>
        <w:tc>
          <w:tcPr>
            <w:tcW w:w="1433" w:type="dxa"/>
            <w:tcBorders>
              <w:top w:val="nil"/>
              <w:left w:val="nil"/>
              <w:bottom w:val="single" w:sz="4" w:space="0" w:color="auto"/>
              <w:right w:val="single" w:sz="4" w:space="0" w:color="auto"/>
            </w:tcBorders>
            <w:shd w:val="clear" w:color="auto" w:fill="auto"/>
            <w:vAlign w:val="center"/>
            <w:hideMark/>
          </w:tcPr>
          <w:p w14:paraId="60DA549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18.406,00</w:t>
            </w:r>
          </w:p>
        </w:tc>
        <w:tc>
          <w:tcPr>
            <w:tcW w:w="1402" w:type="dxa"/>
            <w:tcBorders>
              <w:top w:val="nil"/>
              <w:left w:val="nil"/>
              <w:bottom w:val="single" w:sz="4" w:space="0" w:color="auto"/>
              <w:right w:val="single" w:sz="4" w:space="0" w:color="auto"/>
            </w:tcBorders>
            <w:shd w:val="clear" w:color="auto" w:fill="auto"/>
            <w:vAlign w:val="center"/>
            <w:hideMark/>
          </w:tcPr>
          <w:p w14:paraId="32EAF87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-353.263,39</w:t>
            </w:r>
          </w:p>
        </w:tc>
        <w:tc>
          <w:tcPr>
            <w:tcW w:w="2119" w:type="dxa"/>
            <w:tcBorders>
              <w:top w:val="nil"/>
              <w:left w:val="nil"/>
              <w:bottom w:val="single" w:sz="4" w:space="0" w:color="auto"/>
              <w:right w:val="single" w:sz="4" w:space="0" w:color="auto"/>
            </w:tcBorders>
            <w:shd w:val="clear" w:color="auto" w:fill="auto"/>
            <w:vAlign w:val="center"/>
            <w:hideMark/>
          </w:tcPr>
          <w:p w14:paraId="7B4A08F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424.591,30</w:t>
            </w:r>
          </w:p>
        </w:tc>
        <w:tc>
          <w:tcPr>
            <w:tcW w:w="2134" w:type="dxa"/>
            <w:tcBorders>
              <w:top w:val="nil"/>
              <w:left w:val="nil"/>
              <w:bottom w:val="single" w:sz="4" w:space="0" w:color="auto"/>
              <w:right w:val="single" w:sz="4" w:space="0" w:color="auto"/>
            </w:tcBorders>
            <w:shd w:val="clear" w:color="auto" w:fill="auto"/>
            <w:vAlign w:val="center"/>
            <w:hideMark/>
          </w:tcPr>
          <w:p w14:paraId="6247374F"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53.832,92</w:t>
            </w:r>
          </w:p>
        </w:tc>
        <w:tc>
          <w:tcPr>
            <w:tcW w:w="1929" w:type="dxa"/>
            <w:tcBorders>
              <w:top w:val="nil"/>
              <w:left w:val="nil"/>
              <w:bottom w:val="single" w:sz="4" w:space="0" w:color="auto"/>
              <w:right w:val="single" w:sz="4" w:space="0" w:color="auto"/>
            </w:tcBorders>
            <w:shd w:val="clear" w:color="auto" w:fill="auto"/>
            <w:vAlign w:val="center"/>
            <w:hideMark/>
          </w:tcPr>
          <w:p w14:paraId="6121BF7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209.278,60</w:t>
            </w:r>
          </w:p>
        </w:tc>
      </w:tr>
      <w:tr w:rsidR="000B393A" w:rsidRPr="00483DC7" w14:paraId="24B6D12D"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092525"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w:t>
            </w:r>
          </w:p>
        </w:tc>
        <w:tc>
          <w:tcPr>
            <w:tcW w:w="1565" w:type="dxa"/>
            <w:tcBorders>
              <w:top w:val="nil"/>
              <w:left w:val="nil"/>
              <w:bottom w:val="single" w:sz="4" w:space="0" w:color="auto"/>
              <w:right w:val="single" w:sz="4" w:space="0" w:color="auto"/>
            </w:tcBorders>
            <w:shd w:val="clear" w:color="auto" w:fill="auto"/>
            <w:vAlign w:val="center"/>
            <w:hideMark/>
          </w:tcPr>
          <w:p w14:paraId="51E2BB3B"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UCIPE</w:t>
            </w:r>
          </w:p>
        </w:tc>
        <w:tc>
          <w:tcPr>
            <w:tcW w:w="1424" w:type="dxa"/>
            <w:tcBorders>
              <w:top w:val="nil"/>
              <w:left w:val="nil"/>
              <w:bottom w:val="single" w:sz="4" w:space="0" w:color="auto"/>
              <w:right w:val="single" w:sz="4" w:space="0" w:color="auto"/>
            </w:tcBorders>
            <w:shd w:val="clear" w:color="auto" w:fill="auto"/>
            <w:vAlign w:val="center"/>
            <w:hideMark/>
          </w:tcPr>
          <w:p w14:paraId="0235A88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3.639,92</w:t>
            </w:r>
          </w:p>
        </w:tc>
        <w:tc>
          <w:tcPr>
            <w:tcW w:w="1552" w:type="dxa"/>
            <w:tcBorders>
              <w:top w:val="nil"/>
              <w:left w:val="nil"/>
              <w:bottom w:val="single" w:sz="4" w:space="0" w:color="auto"/>
              <w:right w:val="single" w:sz="4" w:space="0" w:color="auto"/>
            </w:tcBorders>
            <w:shd w:val="clear" w:color="auto" w:fill="auto"/>
            <w:vAlign w:val="center"/>
            <w:hideMark/>
          </w:tcPr>
          <w:p w14:paraId="5F8EA0E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11.759,69</w:t>
            </w:r>
          </w:p>
        </w:tc>
        <w:tc>
          <w:tcPr>
            <w:tcW w:w="1433" w:type="dxa"/>
            <w:tcBorders>
              <w:top w:val="nil"/>
              <w:left w:val="nil"/>
              <w:bottom w:val="single" w:sz="4" w:space="0" w:color="auto"/>
              <w:right w:val="single" w:sz="4" w:space="0" w:color="auto"/>
            </w:tcBorders>
            <w:shd w:val="clear" w:color="auto" w:fill="auto"/>
            <w:vAlign w:val="center"/>
            <w:hideMark/>
          </w:tcPr>
          <w:p w14:paraId="7DBE91C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383,16</w:t>
            </w:r>
          </w:p>
        </w:tc>
        <w:tc>
          <w:tcPr>
            <w:tcW w:w="1402" w:type="dxa"/>
            <w:tcBorders>
              <w:top w:val="nil"/>
              <w:left w:val="nil"/>
              <w:bottom w:val="single" w:sz="4" w:space="0" w:color="auto"/>
              <w:right w:val="single" w:sz="4" w:space="0" w:color="auto"/>
            </w:tcBorders>
            <w:shd w:val="clear" w:color="auto" w:fill="auto"/>
            <w:vAlign w:val="center"/>
            <w:hideMark/>
          </w:tcPr>
          <w:p w14:paraId="12EC9A4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-28.477,57</w:t>
            </w:r>
          </w:p>
        </w:tc>
        <w:tc>
          <w:tcPr>
            <w:tcW w:w="2119" w:type="dxa"/>
            <w:tcBorders>
              <w:top w:val="nil"/>
              <w:left w:val="nil"/>
              <w:bottom w:val="single" w:sz="4" w:space="0" w:color="auto"/>
              <w:right w:val="single" w:sz="4" w:space="0" w:color="auto"/>
            </w:tcBorders>
            <w:shd w:val="clear" w:color="auto" w:fill="auto"/>
            <w:vAlign w:val="center"/>
            <w:hideMark/>
          </w:tcPr>
          <w:p w14:paraId="19E754C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34.126,65</w:t>
            </w:r>
          </w:p>
        </w:tc>
        <w:tc>
          <w:tcPr>
            <w:tcW w:w="2134" w:type="dxa"/>
            <w:tcBorders>
              <w:top w:val="nil"/>
              <w:left w:val="nil"/>
              <w:bottom w:val="single" w:sz="4" w:space="0" w:color="auto"/>
              <w:right w:val="single" w:sz="4" w:space="0" w:color="auto"/>
            </w:tcBorders>
            <w:shd w:val="clear" w:color="auto" w:fill="auto"/>
            <w:vAlign w:val="center"/>
            <w:hideMark/>
          </w:tcPr>
          <w:p w14:paraId="5AAD59D2"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-2.853,85</w:t>
            </w:r>
          </w:p>
        </w:tc>
        <w:tc>
          <w:tcPr>
            <w:tcW w:w="1929" w:type="dxa"/>
            <w:tcBorders>
              <w:top w:val="nil"/>
              <w:left w:val="nil"/>
              <w:bottom w:val="single" w:sz="4" w:space="0" w:color="auto"/>
              <w:right w:val="single" w:sz="4" w:space="0" w:color="auto"/>
            </w:tcBorders>
            <w:shd w:val="clear" w:color="auto" w:fill="auto"/>
            <w:vAlign w:val="center"/>
            <w:hideMark/>
          </w:tcPr>
          <w:p w14:paraId="475BB83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7.208,38</w:t>
            </w:r>
          </w:p>
        </w:tc>
      </w:tr>
      <w:tr w:rsidR="000B393A" w:rsidRPr="00483DC7" w14:paraId="72FC8A32"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8371DC"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w:t>
            </w:r>
          </w:p>
        </w:tc>
        <w:tc>
          <w:tcPr>
            <w:tcW w:w="1565" w:type="dxa"/>
            <w:tcBorders>
              <w:top w:val="nil"/>
              <w:left w:val="nil"/>
              <w:bottom w:val="single" w:sz="4" w:space="0" w:color="auto"/>
              <w:right w:val="single" w:sz="4" w:space="0" w:color="auto"/>
            </w:tcBorders>
            <w:shd w:val="clear" w:color="auto" w:fill="auto"/>
            <w:vAlign w:val="center"/>
            <w:hideMark/>
          </w:tcPr>
          <w:p w14:paraId="11B3B57B"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UCIP IFAD</w:t>
            </w:r>
          </w:p>
        </w:tc>
        <w:tc>
          <w:tcPr>
            <w:tcW w:w="1424" w:type="dxa"/>
            <w:tcBorders>
              <w:top w:val="nil"/>
              <w:left w:val="nil"/>
              <w:bottom w:val="single" w:sz="4" w:space="0" w:color="auto"/>
              <w:right w:val="single" w:sz="4" w:space="0" w:color="auto"/>
            </w:tcBorders>
            <w:shd w:val="clear" w:color="auto" w:fill="auto"/>
            <w:vAlign w:val="center"/>
            <w:hideMark/>
          </w:tcPr>
          <w:p w14:paraId="3645D7C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15.471,57</w:t>
            </w:r>
          </w:p>
        </w:tc>
        <w:tc>
          <w:tcPr>
            <w:tcW w:w="1552" w:type="dxa"/>
            <w:tcBorders>
              <w:top w:val="nil"/>
              <w:left w:val="nil"/>
              <w:bottom w:val="single" w:sz="4" w:space="0" w:color="auto"/>
              <w:right w:val="single" w:sz="4" w:space="0" w:color="auto"/>
            </w:tcBorders>
            <w:shd w:val="clear" w:color="auto" w:fill="auto"/>
            <w:vAlign w:val="center"/>
            <w:hideMark/>
          </w:tcPr>
          <w:p w14:paraId="3073813A"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22.925,34</w:t>
            </w:r>
          </w:p>
        </w:tc>
        <w:tc>
          <w:tcPr>
            <w:tcW w:w="1433" w:type="dxa"/>
            <w:tcBorders>
              <w:top w:val="nil"/>
              <w:left w:val="nil"/>
              <w:bottom w:val="single" w:sz="4" w:space="0" w:color="auto"/>
              <w:right w:val="single" w:sz="4" w:space="0" w:color="auto"/>
            </w:tcBorders>
            <w:shd w:val="clear" w:color="auto" w:fill="auto"/>
            <w:vAlign w:val="center"/>
            <w:hideMark/>
          </w:tcPr>
          <w:p w14:paraId="5A314DA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4.854,15</w:t>
            </w:r>
          </w:p>
        </w:tc>
        <w:tc>
          <w:tcPr>
            <w:tcW w:w="1402" w:type="dxa"/>
            <w:tcBorders>
              <w:top w:val="nil"/>
              <w:left w:val="nil"/>
              <w:bottom w:val="single" w:sz="4" w:space="0" w:color="auto"/>
              <w:right w:val="single" w:sz="4" w:space="0" w:color="auto"/>
            </w:tcBorders>
            <w:shd w:val="clear" w:color="auto" w:fill="auto"/>
            <w:vAlign w:val="center"/>
            <w:hideMark/>
          </w:tcPr>
          <w:p w14:paraId="307E149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-28.448,90</w:t>
            </w:r>
          </w:p>
        </w:tc>
        <w:tc>
          <w:tcPr>
            <w:tcW w:w="2119" w:type="dxa"/>
            <w:tcBorders>
              <w:top w:val="nil"/>
              <w:left w:val="nil"/>
              <w:bottom w:val="single" w:sz="4" w:space="0" w:color="auto"/>
              <w:right w:val="single" w:sz="4" w:space="0" w:color="auto"/>
            </w:tcBorders>
            <w:shd w:val="clear" w:color="auto" w:fill="auto"/>
            <w:vAlign w:val="center"/>
            <w:hideMark/>
          </w:tcPr>
          <w:p w14:paraId="6FE8621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42.064,86</w:t>
            </w:r>
          </w:p>
        </w:tc>
        <w:tc>
          <w:tcPr>
            <w:tcW w:w="2134" w:type="dxa"/>
            <w:tcBorders>
              <w:top w:val="nil"/>
              <w:left w:val="nil"/>
              <w:bottom w:val="single" w:sz="4" w:space="0" w:color="auto"/>
              <w:right w:val="single" w:sz="4" w:space="0" w:color="auto"/>
            </w:tcBorders>
            <w:shd w:val="clear" w:color="auto" w:fill="auto"/>
            <w:vAlign w:val="center"/>
            <w:hideMark/>
          </w:tcPr>
          <w:p w14:paraId="4107A42F"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1.308,04</w:t>
            </w:r>
          </w:p>
        </w:tc>
        <w:tc>
          <w:tcPr>
            <w:tcW w:w="1929" w:type="dxa"/>
            <w:tcBorders>
              <w:top w:val="nil"/>
              <w:left w:val="nil"/>
              <w:bottom w:val="single" w:sz="4" w:space="0" w:color="auto"/>
              <w:right w:val="single" w:sz="4" w:space="0" w:color="auto"/>
            </w:tcBorders>
            <w:shd w:val="clear" w:color="auto" w:fill="auto"/>
            <w:vAlign w:val="center"/>
            <w:hideMark/>
          </w:tcPr>
          <w:p w14:paraId="5D326FE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42.526,04</w:t>
            </w:r>
          </w:p>
        </w:tc>
      </w:tr>
      <w:tr w:rsidR="000B393A" w:rsidRPr="00483DC7" w14:paraId="36CC15CE"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4E9BB8"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w:t>
            </w:r>
          </w:p>
        </w:tc>
        <w:tc>
          <w:tcPr>
            <w:tcW w:w="1565" w:type="dxa"/>
            <w:tcBorders>
              <w:top w:val="nil"/>
              <w:left w:val="nil"/>
              <w:bottom w:val="single" w:sz="4" w:space="0" w:color="auto"/>
              <w:right w:val="single" w:sz="4" w:space="0" w:color="auto"/>
            </w:tcBorders>
            <w:shd w:val="clear" w:color="auto" w:fill="auto"/>
            <w:vAlign w:val="center"/>
            <w:hideMark/>
          </w:tcPr>
          <w:p w14:paraId="2BB8CFEA"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UIPAC</w:t>
            </w:r>
          </w:p>
        </w:tc>
        <w:tc>
          <w:tcPr>
            <w:tcW w:w="1424" w:type="dxa"/>
            <w:tcBorders>
              <w:top w:val="nil"/>
              <w:left w:val="nil"/>
              <w:bottom w:val="single" w:sz="4" w:space="0" w:color="auto"/>
              <w:right w:val="single" w:sz="4" w:space="0" w:color="auto"/>
            </w:tcBorders>
            <w:shd w:val="clear" w:color="auto" w:fill="auto"/>
            <w:vAlign w:val="center"/>
            <w:hideMark/>
          </w:tcPr>
          <w:p w14:paraId="6C0D175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1.468,20</w:t>
            </w:r>
          </w:p>
        </w:tc>
        <w:tc>
          <w:tcPr>
            <w:tcW w:w="1552" w:type="dxa"/>
            <w:tcBorders>
              <w:top w:val="nil"/>
              <w:left w:val="nil"/>
              <w:bottom w:val="single" w:sz="4" w:space="0" w:color="auto"/>
              <w:right w:val="single" w:sz="4" w:space="0" w:color="auto"/>
            </w:tcBorders>
            <w:shd w:val="clear" w:color="auto" w:fill="auto"/>
            <w:vAlign w:val="center"/>
            <w:hideMark/>
          </w:tcPr>
          <w:p w14:paraId="4D44CAC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3.738,99</w:t>
            </w:r>
          </w:p>
        </w:tc>
        <w:tc>
          <w:tcPr>
            <w:tcW w:w="1433" w:type="dxa"/>
            <w:tcBorders>
              <w:top w:val="nil"/>
              <w:left w:val="nil"/>
              <w:bottom w:val="single" w:sz="4" w:space="0" w:color="auto"/>
              <w:right w:val="single" w:sz="4" w:space="0" w:color="auto"/>
            </w:tcBorders>
            <w:shd w:val="clear" w:color="auto" w:fill="auto"/>
            <w:vAlign w:val="center"/>
            <w:hideMark/>
          </w:tcPr>
          <w:p w14:paraId="632334D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430,03</w:t>
            </w:r>
          </w:p>
        </w:tc>
        <w:tc>
          <w:tcPr>
            <w:tcW w:w="1402" w:type="dxa"/>
            <w:tcBorders>
              <w:top w:val="nil"/>
              <w:left w:val="nil"/>
              <w:bottom w:val="single" w:sz="4" w:space="0" w:color="auto"/>
              <w:right w:val="single" w:sz="4" w:space="0" w:color="auto"/>
            </w:tcBorders>
            <w:shd w:val="clear" w:color="auto" w:fill="auto"/>
            <w:vAlign w:val="center"/>
            <w:hideMark/>
          </w:tcPr>
          <w:p w14:paraId="58AEF71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70,45</w:t>
            </w:r>
          </w:p>
        </w:tc>
        <w:tc>
          <w:tcPr>
            <w:tcW w:w="2119" w:type="dxa"/>
            <w:tcBorders>
              <w:top w:val="nil"/>
              <w:left w:val="nil"/>
              <w:bottom w:val="single" w:sz="4" w:space="0" w:color="auto"/>
              <w:right w:val="single" w:sz="4" w:space="0" w:color="auto"/>
            </w:tcBorders>
            <w:shd w:val="clear" w:color="auto" w:fill="auto"/>
            <w:vAlign w:val="center"/>
            <w:hideMark/>
          </w:tcPr>
          <w:p w14:paraId="4B4934A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5.323,26</w:t>
            </w:r>
          </w:p>
        </w:tc>
        <w:tc>
          <w:tcPr>
            <w:tcW w:w="2134" w:type="dxa"/>
            <w:tcBorders>
              <w:top w:val="nil"/>
              <w:left w:val="nil"/>
              <w:bottom w:val="single" w:sz="4" w:space="0" w:color="auto"/>
              <w:right w:val="single" w:sz="4" w:space="0" w:color="auto"/>
            </w:tcBorders>
            <w:shd w:val="clear" w:color="auto" w:fill="auto"/>
            <w:vAlign w:val="center"/>
            <w:hideMark/>
          </w:tcPr>
          <w:p w14:paraId="5275863E"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2.692,89</w:t>
            </w:r>
          </w:p>
        </w:tc>
        <w:tc>
          <w:tcPr>
            <w:tcW w:w="1929" w:type="dxa"/>
            <w:tcBorders>
              <w:top w:val="nil"/>
              <w:left w:val="nil"/>
              <w:bottom w:val="single" w:sz="4" w:space="0" w:color="auto"/>
              <w:right w:val="single" w:sz="4" w:space="0" w:color="auto"/>
            </w:tcBorders>
            <w:shd w:val="clear" w:color="auto" w:fill="auto"/>
            <w:vAlign w:val="center"/>
            <w:hideMark/>
          </w:tcPr>
          <w:p w14:paraId="01ABCC5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7.590,78</w:t>
            </w:r>
          </w:p>
        </w:tc>
      </w:tr>
      <w:tr w:rsidR="000B393A" w:rsidRPr="00483DC7" w14:paraId="459B7C58" w14:textId="77777777" w:rsidTr="00705001">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6D49A4"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w:t>
            </w:r>
          </w:p>
        </w:tc>
        <w:tc>
          <w:tcPr>
            <w:tcW w:w="1565" w:type="dxa"/>
            <w:tcBorders>
              <w:top w:val="nil"/>
              <w:left w:val="nil"/>
              <w:bottom w:val="single" w:sz="4" w:space="0" w:color="auto"/>
              <w:right w:val="single" w:sz="4" w:space="0" w:color="auto"/>
            </w:tcBorders>
            <w:shd w:val="clear" w:color="auto" w:fill="auto"/>
            <w:vAlign w:val="center"/>
            <w:hideMark/>
          </w:tcPr>
          <w:p w14:paraId="51AF0633"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UIPCLPSV II</w:t>
            </w:r>
          </w:p>
        </w:tc>
        <w:tc>
          <w:tcPr>
            <w:tcW w:w="1424" w:type="dxa"/>
            <w:tcBorders>
              <w:top w:val="nil"/>
              <w:left w:val="nil"/>
              <w:bottom w:val="single" w:sz="4" w:space="0" w:color="auto"/>
              <w:right w:val="single" w:sz="4" w:space="0" w:color="auto"/>
            </w:tcBorders>
            <w:shd w:val="clear" w:color="auto" w:fill="auto"/>
            <w:vAlign w:val="center"/>
            <w:hideMark/>
          </w:tcPr>
          <w:p w14:paraId="428DA26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6.027,77</w:t>
            </w:r>
          </w:p>
        </w:tc>
        <w:tc>
          <w:tcPr>
            <w:tcW w:w="1552" w:type="dxa"/>
            <w:tcBorders>
              <w:top w:val="nil"/>
              <w:left w:val="nil"/>
              <w:bottom w:val="single" w:sz="4" w:space="0" w:color="auto"/>
              <w:right w:val="single" w:sz="4" w:space="0" w:color="auto"/>
            </w:tcBorders>
            <w:shd w:val="clear" w:color="auto" w:fill="auto"/>
            <w:vAlign w:val="center"/>
            <w:hideMark/>
          </w:tcPr>
          <w:p w14:paraId="4E9C150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991,83</w:t>
            </w:r>
          </w:p>
        </w:tc>
        <w:tc>
          <w:tcPr>
            <w:tcW w:w="1433" w:type="dxa"/>
            <w:tcBorders>
              <w:top w:val="nil"/>
              <w:left w:val="nil"/>
              <w:bottom w:val="single" w:sz="4" w:space="0" w:color="auto"/>
              <w:right w:val="single" w:sz="4" w:space="0" w:color="auto"/>
            </w:tcBorders>
            <w:shd w:val="clear" w:color="auto" w:fill="auto"/>
            <w:vAlign w:val="center"/>
            <w:hideMark/>
          </w:tcPr>
          <w:p w14:paraId="54DF453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3.257,99</w:t>
            </w:r>
          </w:p>
        </w:tc>
        <w:tc>
          <w:tcPr>
            <w:tcW w:w="1402" w:type="dxa"/>
            <w:tcBorders>
              <w:top w:val="nil"/>
              <w:left w:val="nil"/>
              <w:bottom w:val="single" w:sz="4" w:space="0" w:color="auto"/>
              <w:right w:val="single" w:sz="4" w:space="0" w:color="auto"/>
            </w:tcBorders>
            <w:shd w:val="clear" w:color="auto" w:fill="auto"/>
            <w:vAlign w:val="center"/>
            <w:hideMark/>
          </w:tcPr>
          <w:p w14:paraId="146F5E7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-23,39</w:t>
            </w:r>
          </w:p>
        </w:tc>
        <w:tc>
          <w:tcPr>
            <w:tcW w:w="2119" w:type="dxa"/>
            <w:tcBorders>
              <w:top w:val="nil"/>
              <w:left w:val="nil"/>
              <w:bottom w:val="single" w:sz="4" w:space="0" w:color="auto"/>
              <w:right w:val="single" w:sz="4" w:space="0" w:color="auto"/>
            </w:tcBorders>
            <w:shd w:val="clear" w:color="auto" w:fill="auto"/>
            <w:vAlign w:val="center"/>
            <w:hideMark/>
          </w:tcPr>
          <w:p w14:paraId="0F87F55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nil"/>
              <w:left w:val="nil"/>
              <w:bottom w:val="single" w:sz="4" w:space="0" w:color="auto"/>
              <w:right w:val="single" w:sz="4" w:space="0" w:color="auto"/>
            </w:tcBorders>
            <w:shd w:val="clear" w:color="auto" w:fill="auto"/>
            <w:vAlign w:val="center"/>
            <w:hideMark/>
          </w:tcPr>
          <w:p w14:paraId="6DDCCD78" w14:textId="77777777" w:rsidR="000B393A" w:rsidRPr="00483DC7" w:rsidRDefault="000B393A"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1.754,56</w:t>
            </w:r>
          </w:p>
        </w:tc>
        <w:tc>
          <w:tcPr>
            <w:tcW w:w="1929" w:type="dxa"/>
            <w:tcBorders>
              <w:top w:val="nil"/>
              <w:left w:val="nil"/>
              <w:bottom w:val="single" w:sz="4" w:space="0" w:color="auto"/>
              <w:right w:val="single" w:sz="4" w:space="0" w:color="auto"/>
            </w:tcBorders>
            <w:shd w:val="clear" w:color="auto" w:fill="auto"/>
            <w:vAlign w:val="center"/>
            <w:hideMark/>
          </w:tcPr>
          <w:p w14:paraId="4AC368E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1.865,79</w:t>
            </w:r>
          </w:p>
        </w:tc>
      </w:tr>
      <w:tr w:rsidR="000B393A" w:rsidRPr="00483DC7" w14:paraId="71D480BE" w14:textId="77777777" w:rsidTr="00705001">
        <w:trPr>
          <w:trHeight w:val="288"/>
        </w:trPr>
        <w:tc>
          <w:tcPr>
            <w:tcW w:w="562" w:type="dxa"/>
            <w:tcBorders>
              <w:top w:val="nil"/>
              <w:left w:val="single" w:sz="4" w:space="0" w:color="auto"/>
              <w:bottom w:val="single" w:sz="4" w:space="0" w:color="000000" w:themeColor="text1"/>
              <w:right w:val="single" w:sz="4" w:space="0" w:color="auto"/>
            </w:tcBorders>
            <w:shd w:val="clear" w:color="auto" w:fill="auto"/>
            <w:vAlign w:val="center"/>
            <w:hideMark/>
          </w:tcPr>
          <w:p w14:paraId="78FE186D"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w:t>
            </w:r>
          </w:p>
        </w:tc>
        <w:tc>
          <w:tcPr>
            <w:tcW w:w="1565" w:type="dxa"/>
            <w:tcBorders>
              <w:top w:val="nil"/>
              <w:left w:val="nil"/>
              <w:bottom w:val="single" w:sz="4" w:space="0" w:color="000000" w:themeColor="text1"/>
              <w:right w:val="single" w:sz="4" w:space="0" w:color="auto"/>
            </w:tcBorders>
            <w:shd w:val="clear" w:color="auto" w:fill="auto"/>
            <w:vAlign w:val="center"/>
            <w:hideMark/>
          </w:tcPr>
          <w:p w14:paraId="46FC1358"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UIPCPC</w:t>
            </w:r>
          </w:p>
        </w:tc>
        <w:tc>
          <w:tcPr>
            <w:tcW w:w="1424" w:type="dxa"/>
            <w:tcBorders>
              <w:top w:val="nil"/>
              <w:left w:val="nil"/>
              <w:bottom w:val="single" w:sz="4" w:space="0" w:color="000000" w:themeColor="text1"/>
              <w:right w:val="single" w:sz="4" w:space="0" w:color="auto"/>
            </w:tcBorders>
            <w:shd w:val="clear" w:color="auto" w:fill="auto"/>
            <w:vAlign w:val="center"/>
            <w:hideMark/>
          </w:tcPr>
          <w:p w14:paraId="4F7EF9A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1.029,19</w:t>
            </w:r>
          </w:p>
        </w:tc>
        <w:tc>
          <w:tcPr>
            <w:tcW w:w="1552" w:type="dxa"/>
            <w:tcBorders>
              <w:top w:val="nil"/>
              <w:left w:val="nil"/>
              <w:bottom w:val="single" w:sz="4" w:space="0" w:color="000000" w:themeColor="text1"/>
              <w:right w:val="single" w:sz="4" w:space="0" w:color="auto"/>
            </w:tcBorders>
            <w:shd w:val="clear" w:color="auto" w:fill="auto"/>
            <w:vAlign w:val="center"/>
            <w:hideMark/>
          </w:tcPr>
          <w:p w14:paraId="553C379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1.695,12</w:t>
            </w:r>
          </w:p>
        </w:tc>
        <w:tc>
          <w:tcPr>
            <w:tcW w:w="1433" w:type="dxa"/>
            <w:tcBorders>
              <w:top w:val="nil"/>
              <w:left w:val="nil"/>
              <w:bottom w:val="single" w:sz="4" w:space="0" w:color="000000" w:themeColor="text1"/>
              <w:right w:val="single" w:sz="4" w:space="0" w:color="auto"/>
            </w:tcBorders>
            <w:shd w:val="clear" w:color="auto" w:fill="auto"/>
            <w:vAlign w:val="center"/>
            <w:hideMark/>
          </w:tcPr>
          <w:p w14:paraId="022E418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402" w:type="dxa"/>
            <w:tcBorders>
              <w:top w:val="nil"/>
              <w:left w:val="nil"/>
              <w:bottom w:val="single" w:sz="4" w:space="0" w:color="000000" w:themeColor="text1"/>
              <w:right w:val="single" w:sz="4" w:space="0" w:color="auto"/>
            </w:tcBorders>
            <w:shd w:val="clear" w:color="auto" w:fill="auto"/>
            <w:vAlign w:val="center"/>
            <w:hideMark/>
          </w:tcPr>
          <w:p w14:paraId="43939F92"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30,29</w:t>
            </w:r>
          </w:p>
        </w:tc>
        <w:tc>
          <w:tcPr>
            <w:tcW w:w="2119" w:type="dxa"/>
            <w:tcBorders>
              <w:top w:val="nil"/>
              <w:left w:val="nil"/>
              <w:bottom w:val="single" w:sz="4" w:space="0" w:color="000000" w:themeColor="text1"/>
              <w:right w:val="single" w:sz="4" w:space="0" w:color="auto"/>
            </w:tcBorders>
            <w:shd w:val="clear" w:color="auto" w:fill="auto"/>
            <w:vAlign w:val="center"/>
            <w:hideMark/>
          </w:tcPr>
          <w:p w14:paraId="115D763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nil"/>
              <w:left w:val="nil"/>
              <w:bottom w:val="single" w:sz="4" w:space="0" w:color="000000" w:themeColor="text1"/>
              <w:right w:val="single" w:sz="4" w:space="0" w:color="auto"/>
            </w:tcBorders>
            <w:shd w:val="clear" w:color="auto" w:fill="auto"/>
            <w:vAlign w:val="center"/>
            <w:hideMark/>
          </w:tcPr>
          <w:p w14:paraId="498DD69B"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-635,64</w:t>
            </w:r>
          </w:p>
        </w:tc>
        <w:tc>
          <w:tcPr>
            <w:tcW w:w="1929" w:type="dxa"/>
            <w:tcBorders>
              <w:top w:val="nil"/>
              <w:left w:val="nil"/>
              <w:bottom w:val="single" w:sz="4" w:space="0" w:color="000000" w:themeColor="text1"/>
              <w:right w:val="single" w:sz="4" w:space="0" w:color="auto"/>
            </w:tcBorders>
            <w:shd w:val="clear" w:color="auto" w:fill="auto"/>
            <w:vAlign w:val="center"/>
            <w:hideMark/>
          </w:tcPr>
          <w:p w14:paraId="616EC6F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1.630,94</w:t>
            </w:r>
          </w:p>
        </w:tc>
      </w:tr>
      <w:tr w:rsidR="000B393A" w:rsidRPr="00483DC7" w14:paraId="70F0EE8B" w14:textId="77777777" w:rsidTr="00705001">
        <w:trPr>
          <w:trHeight w:val="288"/>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005BF901" w14:textId="77777777" w:rsidR="000B393A" w:rsidRPr="00483DC7" w:rsidRDefault="000B393A" w:rsidP="00705001">
            <w:pPr>
              <w:spacing w:after="0" w:line="240" w:lineRule="auto"/>
              <w:jc w:val="center"/>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TOTAL pentru 2023</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636C5821" w14:textId="27A5A53A" w:rsidR="000B393A" w:rsidRPr="00483DC7" w:rsidRDefault="00ED3CDD"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537.626,70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4E7DCFBE" w14:textId="088C5919" w:rsidR="000B393A" w:rsidRPr="00483DC7" w:rsidRDefault="00ED3CDD"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749.127,82</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4B978783" w14:textId="01D953E2" w:rsidR="000B393A" w:rsidRPr="00483DC7" w:rsidRDefault="00ED3CDD"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409.698,00</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0F367E1D" w14:textId="065CB508" w:rsidR="000B393A" w:rsidRPr="00483DC7" w:rsidRDefault="00ED3CDD"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-489.601,77</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3890E9FD" w14:textId="2A71E83D" w:rsidR="000B393A" w:rsidRPr="00483DC7" w:rsidRDefault="00ED3CDD" w:rsidP="008346BE">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855.990,6</w:t>
            </w:r>
            <w:r w:rsidR="008346BE" w:rsidRPr="00483DC7">
              <w:rPr>
                <w:rFonts w:ascii="Times New Roman" w:eastAsia="Times New Roman" w:hAnsi="Times New Roman" w:cs="Times New Roman"/>
                <w:b/>
                <w:color w:val="000000"/>
                <w:sz w:val="20"/>
                <w:szCs w:val="20"/>
                <w:lang w:val="ro-MD"/>
              </w:rPr>
              <w:t>4</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2A6D6561" w14:textId="4E423E9E" w:rsidR="000B393A" w:rsidRPr="00483DC7" w:rsidRDefault="00ED3CDD" w:rsidP="008346BE">
            <w:pPr>
              <w:spacing w:after="0" w:line="240" w:lineRule="auto"/>
              <w:jc w:val="right"/>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-254.810,2</w:t>
            </w:r>
            <w:r w:rsidR="008346BE" w:rsidRPr="00483DC7">
              <w:rPr>
                <w:rFonts w:ascii="Times New Roman" w:eastAsia="Times New Roman" w:hAnsi="Times New Roman" w:cs="Times New Roman"/>
                <w:b/>
                <w:bCs/>
                <w:color w:val="000000"/>
                <w:sz w:val="20"/>
                <w:szCs w:val="20"/>
                <w:lang w:val="ro-MD"/>
              </w:rPr>
              <w:t>5</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tcPr>
          <w:p w14:paraId="41D7053E" w14:textId="07379C54" w:rsidR="000B393A" w:rsidRPr="00483DC7" w:rsidRDefault="00ED3CDD" w:rsidP="00705001">
            <w:pPr>
              <w:spacing w:after="0" w:line="240" w:lineRule="auto"/>
              <w:jc w:val="right"/>
              <w:rPr>
                <w:rFonts w:ascii="Times New Roman" w:eastAsia="Times New Roman" w:hAnsi="Times New Roman" w:cs="Times New Roman"/>
                <w:b/>
                <w:color w:val="000000"/>
                <w:sz w:val="20"/>
                <w:szCs w:val="20"/>
                <w:lang w:val="ro-MD"/>
              </w:rPr>
            </w:pPr>
            <w:r w:rsidRPr="00483DC7">
              <w:rPr>
                <w:rFonts w:ascii="Times New Roman" w:eastAsia="Times New Roman" w:hAnsi="Times New Roman" w:cs="Times New Roman"/>
                <w:b/>
                <w:color w:val="000000"/>
                <w:sz w:val="20"/>
                <w:szCs w:val="20"/>
                <w:lang w:val="ro-MD"/>
              </w:rPr>
              <w:t>255.256,22</w:t>
            </w:r>
          </w:p>
        </w:tc>
      </w:tr>
      <w:tr w:rsidR="000B393A" w:rsidRPr="00483DC7" w14:paraId="3BB37738"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C2E39"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637EC"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ADMA</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C0BD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306.891,87</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EE5E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352.032,43</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C7EFD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4817A4"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FCBF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38.556,00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F9C77"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-6.584,56</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2258B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42.806,10</w:t>
            </w:r>
          </w:p>
        </w:tc>
      </w:tr>
      <w:tr w:rsidR="000B393A" w:rsidRPr="00483DC7" w14:paraId="69425E0A"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18565"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75CAB"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OGPAE</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AD20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5.920,60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8427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7.552,86</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9B21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185.739,72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2937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-2.428,16</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203E6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190.630,00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5FCA3"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
                <w:color w:val="000000"/>
                <w:sz w:val="20"/>
                <w:szCs w:val="20"/>
                <w:lang w:val="ro-MD"/>
              </w:rPr>
              <w:t>829,86</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9B43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107.191,66</w:t>
            </w:r>
          </w:p>
        </w:tc>
      </w:tr>
      <w:tr w:rsidR="000B393A" w:rsidRPr="00483DC7" w14:paraId="33895C8C"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EA636"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B33C4"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ONDRL</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5DD15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16.781,57</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539C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8.451,78</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7014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19.749,09</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F7F2A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-407,93</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4DAE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10.937,90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EF3294"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-889,33</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741D00"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10.202,67</w:t>
            </w:r>
          </w:p>
        </w:tc>
      </w:tr>
      <w:tr w:rsidR="000B393A" w:rsidRPr="00483DC7" w14:paraId="6FEA05B4"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02EA4"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FA23DD"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ONIPM</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ED0C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16.401,78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DBD63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12.512,45</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B665E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1.078,10</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0524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-409,30</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0E494"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DCE7E"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
                <w:color w:val="000000"/>
                <w:sz w:val="20"/>
                <w:szCs w:val="20"/>
                <w:lang w:val="ro-MD"/>
              </w:rPr>
              <w:t>2.401,93</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7919D"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6.711,72</w:t>
            </w:r>
          </w:p>
        </w:tc>
      </w:tr>
      <w:tr w:rsidR="000B393A" w:rsidRPr="00483DC7" w14:paraId="05020002"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E9CA24"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CBBBE"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UCIMPA</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3AD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1.793,66</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C591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8.186,64</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38AA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24.904,39</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6BB9EF"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-361,01</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C8CA4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27.648,94</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6134A"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-4.009,44</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1EC89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3.390,07</w:t>
            </w:r>
          </w:p>
        </w:tc>
      </w:tr>
      <w:tr w:rsidR="000B393A" w:rsidRPr="00483DC7" w14:paraId="69E5595E"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6F437"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93B141"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 DS</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3EB3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99.843,47</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2BC2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89.651,27</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D9CA1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67.765,73</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2B843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-2.666,31</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7B147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D93DD"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-60.239,84</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E75A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1.172,33</w:t>
            </w:r>
          </w:p>
        </w:tc>
      </w:tr>
      <w:tr w:rsidR="000B393A" w:rsidRPr="00483DC7" w14:paraId="75DC1FAC"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25E17"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006442"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UCIMPRSVV</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1311E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8.950,86</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2307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8.608,32</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A40DC"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21.966,81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72CE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-304.042,00</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1C8C6"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145.461,44</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01245"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-180.204,83</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19BFB4"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29.073,78</w:t>
            </w:r>
          </w:p>
        </w:tc>
      </w:tr>
      <w:tr w:rsidR="000B393A" w:rsidRPr="00483DC7" w14:paraId="10F8F73D"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80E09"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FF2F2E"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UCIPE</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C1F59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12.945,28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781B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22.562,00</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722FD"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461,87</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62CE4"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-130.030,77</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34DD4E"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142.357,10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AAED6"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
                <w:color w:val="000000"/>
                <w:sz w:val="20"/>
                <w:szCs w:val="20"/>
                <w:lang w:val="ro-MD"/>
              </w:rPr>
              <w:t>2.247,74</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215BD"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9.456,12</w:t>
            </w:r>
          </w:p>
        </w:tc>
      </w:tr>
      <w:tr w:rsidR="000B393A" w:rsidRPr="00483DC7" w14:paraId="5665E454"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19123"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99CB7A"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UCIP IFAD</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1FC00B" w14:textId="103CFFFB" w:rsidR="000B393A" w:rsidRPr="00483DC7" w:rsidRDefault="00ED3CDD"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65.939,28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172CBA" w14:textId="38DC0417" w:rsidR="000B393A" w:rsidRPr="00483DC7" w:rsidRDefault="00ED3CDD"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36.453,09</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BC763" w14:textId="09F8ADA7" w:rsidR="000B393A" w:rsidRPr="00483DC7" w:rsidRDefault="00ED3CDD"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78.183,08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D2FDB" w14:textId="432BB24B" w:rsidR="000B393A" w:rsidRPr="00483DC7" w:rsidRDefault="00ED3CDD"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-48.756,81</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1A706" w14:textId="6BE81A04" w:rsidR="000B393A" w:rsidRPr="00483DC7" w:rsidRDefault="00ED3CDD" w:rsidP="008346BE">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91.151,1</w:t>
            </w:r>
            <w:r w:rsidR="008346BE" w:rsidRPr="00483DC7">
              <w:rPr>
                <w:rFonts w:ascii="Times New Roman" w:eastAsia="Times New Roman" w:hAnsi="Times New Roman" w:cs="Times New Roman"/>
                <w:color w:val="000000"/>
                <w:sz w:val="20"/>
                <w:szCs w:val="20"/>
                <w:lang w:val="ro-MD"/>
              </w:rPr>
              <w:t>6</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14913" w14:textId="3EE21711" w:rsidR="000B393A" w:rsidRPr="00483DC7" w:rsidRDefault="00ED3CDD" w:rsidP="008346BE">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-6.302,5</w:t>
            </w:r>
            <w:r w:rsidR="008346BE" w:rsidRPr="00483DC7">
              <w:rPr>
                <w:rFonts w:ascii="Times New Roman" w:eastAsia="Times New Roman" w:hAnsi="Times New Roman" w:cs="Times New Roman"/>
                <w:bCs/>
                <w:color w:val="000000"/>
                <w:sz w:val="20"/>
                <w:szCs w:val="20"/>
                <w:lang w:val="ro-MD"/>
              </w:rPr>
              <w:t>4</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ED4B13" w14:textId="166683D5" w:rsidR="000B393A" w:rsidRPr="00483DC7" w:rsidRDefault="00ED3CDD"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36.223,50</w:t>
            </w:r>
          </w:p>
        </w:tc>
      </w:tr>
      <w:tr w:rsidR="000B393A" w:rsidRPr="00483DC7" w14:paraId="0974670A"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54ED9"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DE969F"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UIPAC</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5500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1B85C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201.898,80</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E781A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1.743,92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5A83A"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-437,96</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39AA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204.466,43</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7FD8FF"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
                <w:color w:val="000000"/>
                <w:sz w:val="20"/>
                <w:szCs w:val="20"/>
                <w:lang w:val="ro-MD"/>
              </w:rPr>
              <w:t>385,75</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4858D"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7.976,53</w:t>
            </w:r>
          </w:p>
        </w:tc>
      </w:tr>
      <w:tr w:rsidR="000B393A" w:rsidRPr="00483DC7" w14:paraId="06D2C5AC"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1A4ED"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0FE13"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UIPCLPSV II</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000E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1.016,42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0FB49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79,67</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03637"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2.265,75</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C8D5B"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47D0CD"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1FBF4"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-1.329,00</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CB6AF3"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536,79</w:t>
            </w:r>
          </w:p>
        </w:tc>
      </w:tr>
      <w:tr w:rsidR="000B393A" w:rsidRPr="00483DC7" w14:paraId="63C0F11B" w14:textId="77777777" w:rsidTr="00705001">
        <w:trPr>
          <w:trHeight w:val="2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F5FF58"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1C516" w14:textId="77777777" w:rsidR="000B393A" w:rsidRPr="00483DC7" w:rsidRDefault="000B393A" w:rsidP="00705001">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UIPCPC</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02A8F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1.141,91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912F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1.138,51</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558"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5.839,54</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7A4041"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-61,52</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FFA255"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4.781,67</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34A82" w14:textId="77777777" w:rsidR="000B393A" w:rsidRPr="00483DC7" w:rsidRDefault="000B393A" w:rsidP="00705001">
            <w:pPr>
              <w:spacing w:after="0" w:line="240" w:lineRule="auto"/>
              <w:jc w:val="right"/>
              <w:rPr>
                <w:rFonts w:ascii="Times New Roman" w:eastAsia="Times New Roman" w:hAnsi="Times New Roman" w:cs="Times New Roman"/>
                <w:bCs/>
                <w:color w:val="000000"/>
                <w:sz w:val="20"/>
                <w:szCs w:val="20"/>
                <w:lang w:val="ro-MD"/>
              </w:rPr>
            </w:pPr>
            <w:r w:rsidRPr="00483DC7">
              <w:rPr>
                <w:rFonts w:ascii="Times New Roman" w:eastAsia="Times New Roman" w:hAnsi="Times New Roman" w:cs="Times New Roman"/>
                <w:bCs/>
                <w:color w:val="000000"/>
                <w:sz w:val="20"/>
                <w:szCs w:val="20"/>
                <w:lang w:val="ro-MD"/>
              </w:rPr>
              <w:t>-1.115,99</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E1679" w14:textId="77777777" w:rsidR="000B393A" w:rsidRPr="00483DC7" w:rsidRDefault="000B393A" w:rsidP="00705001">
            <w:pPr>
              <w:spacing w:after="0" w:line="240" w:lineRule="auto"/>
              <w:jc w:val="right"/>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514,95</w:t>
            </w:r>
          </w:p>
        </w:tc>
      </w:tr>
      <w:tr w:rsidR="000B393A" w:rsidRPr="00483DC7" w14:paraId="0622A6E9" w14:textId="77777777" w:rsidTr="00705001">
        <w:trPr>
          <w:trHeight w:val="335"/>
        </w:trPr>
        <w:tc>
          <w:tcPr>
            <w:tcW w:w="14120"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EE759B" w14:textId="77777777" w:rsidR="000B393A" w:rsidRPr="00483DC7" w:rsidRDefault="000B393A" w:rsidP="00705001">
            <w:pPr>
              <w:spacing w:after="0" w:line="240" w:lineRule="auto"/>
              <w:jc w:val="center"/>
              <w:rPr>
                <w:rFonts w:ascii="Times New Roman" w:eastAsia="Times New Roman" w:hAnsi="Times New Roman" w:cs="Times New Roman"/>
                <w:i/>
                <w:color w:val="000000"/>
                <w:sz w:val="20"/>
                <w:szCs w:val="20"/>
                <w:lang w:val="ro-MD"/>
              </w:rPr>
            </w:pPr>
            <w:r w:rsidRPr="00483DC7">
              <w:rPr>
                <w:rFonts w:ascii="Times New Roman" w:eastAsia="Times New Roman" w:hAnsi="Times New Roman" w:cs="Times New Roman"/>
                <w:b/>
                <w:i/>
                <w:color w:val="000000"/>
                <w:sz w:val="20"/>
                <w:szCs w:val="20"/>
                <w:lang w:val="ro-MD"/>
              </w:rPr>
              <w:t>Sursa:</w:t>
            </w:r>
            <w:r w:rsidRPr="00483DC7">
              <w:rPr>
                <w:rFonts w:ascii="Times New Roman" w:eastAsia="Times New Roman" w:hAnsi="Times New Roman" w:cs="Times New Roman"/>
                <w:i/>
                <w:color w:val="000000"/>
                <w:sz w:val="20"/>
                <w:szCs w:val="20"/>
                <w:lang w:val="ro-MD"/>
              </w:rPr>
              <w:t xml:space="preserve"> Rapoartele financiare ale UIPFAE pentru anii de gestiune 2022-2023</w:t>
            </w:r>
          </w:p>
        </w:tc>
      </w:tr>
    </w:tbl>
    <w:p w14:paraId="7A69E5D3" w14:textId="6169BC74" w:rsidR="000B393A" w:rsidRPr="00483DC7" w:rsidRDefault="000B393A" w:rsidP="008C7D35">
      <w:pPr>
        <w:spacing w:after="0" w:line="276" w:lineRule="auto"/>
        <w:jc w:val="both"/>
        <w:rPr>
          <w:rFonts w:ascii="Times New Roman" w:hAnsi="Times New Roman" w:cs="Times New Roman"/>
          <w:b/>
          <w:sz w:val="24"/>
          <w:szCs w:val="24"/>
          <w:lang w:val="ro-MD" w:eastAsia="ru-RU"/>
        </w:rPr>
      </w:pPr>
    </w:p>
    <w:p w14:paraId="306FA3A1" w14:textId="3EE98E13" w:rsidR="005D5E5B" w:rsidRPr="00483DC7" w:rsidRDefault="005D5E5B" w:rsidP="00E653AF">
      <w:pPr>
        <w:pStyle w:val="Heading2"/>
        <w:spacing w:before="0" w:after="240"/>
        <w:rPr>
          <w:rFonts w:ascii="Times New Roman" w:hAnsi="Times New Roman" w:cs="Times New Roman"/>
          <w:color w:val="auto"/>
          <w:sz w:val="24"/>
          <w:szCs w:val="24"/>
          <w:lang w:val="ro-MD"/>
        </w:rPr>
      </w:pPr>
      <w:bookmarkStart w:id="35" w:name="_Toc185943230"/>
      <w:r w:rsidRPr="00483DC7">
        <w:rPr>
          <w:rFonts w:ascii="Times New Roman" w:hAnsi="Times New Roman" w:cs="Times New Roman"/>
          <w:b/>
          <w:color w:val="auto"/>
          <w:sz w:val="24"/>
          <w:szCs w:val="24"/>
          <w:lang w:val="ro-MD"/>
        </w:rPr>
        <w:lastRenderedPageBreak/>
        <w:t>Anexa nr.</w:t>
      </w:r>
      <w:r w:rsidR="00E653AF" w:rsidRPr="00483DC7">
        <w:rPr>
          <w:rFonts w:ascii="Times New Roman" w:hAnsi="Times New Roman" w:cs="Times New Roman"/>
          <w:b/>
          <w:color w:val="auto"/>
          <w:sz w:val="24"/>
          <w:szCs w:val="24"/>
          <w:lang w:val="ro-MD"/>
        </w:rPr>
        <w:t xml:space="preserve"> </w:t>
      </w:r>
      <w:r w:rsidRPr="00483DC7">
        <w:rPr>
          <w:rFonts w:ascii="Times New Roman" w:hAnsi="Times New Roman" w:cs="Times New Roman"/>
          <w:b/>
          <w:color w:val="auto"/>
          <w:sz w:val="24"/>
          <w:szCs w:val="24"/>
          <w:lang w:val="ro-MD"/>
        </w:rPr>
        <w:t>6:</w:t>
      </w:r>
      <w:r w:rsidRPr="00483DC7">
        <w:rPr>
          <w:rFonts w:ascii="Times New Roman" w:hAnsi="Times New Roman" w:cs="Times New Roman"/>
          <w:color w:val="auto"/>
          <w:sz w:val="24"/>
          <w:szCs w:val="24"/>
          <w:lang w:val="ro-MD"/>
        </w:rPr>
        <w:t xml:space="preserve"> Documentele și procedurile necesare pentru asigura</w:t>
      </w:r>
      <w:r w:rsidR="00C624F9">
        <w:rPr>
          <w:rFonts w:ascii="Times New Roman" w:hAnsi="Times New Roman" w:cs="Times New Roman"/>
          <w:color w:val="auto"/>
          <w:sz w:val="24"/>
          <w:szCs w:val="24"/>
          <w:lang w:val="ro-MD"/>
        </w:rPr>
        <w:t>rea</w:t>
      </w:r>
      <w:r w:rsidRPr="00483DC7">
        <w:rPr>
          <w:rFonts w:ascii="Times New Roman" w:hAnsi="Times New Roman" w:cs="Times New Roman"/>
          <w:color w:val="auto"/>
          <w:sz w:val="24"/>
          <w:szCs w:val="24"/>
          <w:lang w:val="ro-MD"/>
        </w:rPr>
        <w:t xml:space="preserve"> managementul</w:t>
      </w:r>
      <w:r w:rsidR="00C624F9">
        <w:rPr>
          <w:rFonts w:ascii="Times New Roman" w:hAnsi="Times New Roman" w:cs="Times New Roman"/>
          <w:color w:val="auto"/>
          <w:sz w:val="24"/>
          <w:szCs w:val="24"/>
          <w:lang w:val="ro-MD"/>
        </w:rPr>
        <w:t>u</w:t>
      </w:r>
      <w:r w:rsidR="00BE62C0">
        <w:rPr>
          <w:rFonts w:ascii="Times New Roman" w:hAnsi="Times New Roman" w:cs="Times New Roman"/>
          <w:color w:val="auto"/>
          <w:sz w:val="24"/>
          <w:szCs w:val="24"/>
          <w:lang w:val="ro-MD"/>
        </w:rPr>
        <w:t>i</w:t>
      </w:r>
      <w:r w:rsidRPr="00483DC7">
        <w:rPr>
          <w:rFonts w:ascii="Times New Roman" w:hAnsi="Times New Roman" w:cs="Times New Roman"/>
          <w:color w:val="auto"/>
          <w:sz w:val="24"/>
          <w:szCs w:val="24"/>
          <w:lang w:val="ro-MD"/>
        </w:rPr>
        <w:t xml:space="preserve"> calității în procesul de implementare a Proiectelor</w:t>
      </w:r>
      <w:bookmarkEnd w:id="35"/>
    </w:p>
    <w:tbl>
      <w:tblPr>
        <w:tblW w:w="14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506"/>
        <w:gridCol w:w="1134"/>
        <w:gridCol w:w="5103"/>
        <w:gridCol w:w="2693"/>
        <w:gridCol w:w="1418"/>
        <w:gridCol w:w="1843"/>
      </w:tblGrid>
      <w:tr w:rsidR="00E653AF" w:rsidRPr="00483DC7" w14:paraId="0A709B17" w14:textId="77777777" w:rsidTr="00E653AF">
        <w:trPr>
          <w:cantSplit/>
          <w:trHeight w:val="19"/>
          <w:tblHeader/>
        </w:trPr>
        <w:tc>
          <w:tcPr>
            <w:tcW w:w="479" w:type="dxa"/>
            <w:shd w:val="clear" w:color="auto" w:fill="DEEAF6" w:themeFill="accent1" w:themeFillTint="33"/>
            <w:vAlign w:val="center"/>
          </w:tcPr>
          <w:p w14:paraId="470F7BB1" w14:textId="022F2907" w:rsidR="00E653AF" w:rsidRPr="00483DC7" w:rsidRDefault="00E653AF" w:rsidP="00C624F9">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Nr. </w:t>
            </w:r>
            <w:r w:rsidR="00C624F9">
              <w:rPr>
                <w:rFonts w:ascii="Times New Roman" w:hAnsi="Times New Roman" w:cs="Times New Roman"/>
                <w:sz w:val="20"/>
                <w:szCs w:val="20"/>
                <w:lang w:val="ro-MD"/>
              </w:rPr>
              <w:t>crt.</w:t>
            </w:r>
          </w:p>
        </w:tc>
        <w:tc>
          <w:tcPr>
            <w:tcW w:w="1506" w:type="dxa"/>
            <w:shd w:val="clear" w:color="auto" w:fill="DEEAF6" w:themeFill="accent1" w:themeFillTint="33"/>
            <w:vAlign w:val="center"/>
          </w:tcPr>
          <w:p w14:paraId="38091AE8"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Denumirea instituției</w:t>
            </w:r>
          </w:p>
        </w:tc>
        <w:tc>
          <w:tcPr>
            <w:tcW w:w="1134" w:type="dxa"/>
            <w:shd w:val="clear" w:color="auto" w:fill="DEEAF6" w:themeFill="accent1" w:themeFillTint="33"/>
            <w:vAlign w:val="center"/>
          </w:tcPr>
          <w:p w14:paraId="5059F572"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Fondatorul</w:t>
            </w:r>
          </w:p>
        </w:tc>
        <w:tc>
          <w:tcPr>
            <w:tcW w:w="5103" w:type="dxa"/>
            <w:shd w:val="clear" w:color="auto" w:fill="DEEAF6" w:themeFill="accent1" w:themeFillTint="33"/>
            <w:vAlign w:val="center"/>
          </w:tcPr>
          <w:p w14:paraId="2629F4FA"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Documentul de politică sectorială corespunzător</w:t>
            </w:r>
          </w:p>
        </w:tc>
        <w:tc>
          <w:tcPr>
            <w:tcW w:w="2693" w:type="dxa"/>
            <w:shd w:val="clear" w:color="auto" w:fill="DEEAF6" w:themeFill="accent1" w:themeFillTint="33"/>
            <w:vAlign w:val="center"/>
          </w:tcPr>
          <w:p w14:paraId="32A7D724"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Denumirea proiectului/programului finanțat din asistența externă</w:t>
            </w:r>
          </w:p>
        </w:tc>
        <w:tc>
          <w:tcPr>
            <w:tcW w:w="1418" w:type="dxa"/>
            <w:shd w:val="clear" w:color="auto" w:fill="DEEAF6" w:themeFill="accent1" w:themeFillTint="33"/>
            <w:vAlign w:val="center"/>
          </w:tcPr>
          <w:p w14:paraId="6BF53C05"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Perioada de implementare a proiectului</w:t>
            </w:r>
          </w:p>
        </w:tc>
        <w:tc>
          <w:tcPr>
            <w:tcW w:w="1843" w:type="dxa"/>
            <w:shd w:val="clear" w:color="auto" w:fill="DEEAF6" w:themeFill="accent1" w:themeFillTint="33"/>
            <w:vAlign w:val="center"/>
          </w:tcPr>
          <w:p w14:paraId="3A0C71A5"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Partenerul extern de dezvoltare</w:t>
            </w:r>
          </w:p>
        </w:tc>
      </w:tr>
      <w:tr w:rsidR="00E653AF" w:rsidRPr="00483DC7" w14:paraId="215AEB62" w14:textId="77777777" w:rsidTr="00E653AF">
        <w:trPr>
          <w:trHeight w:val="1179"/>
        </w:trPr>
        <w:tc>
          <w:tcPr>
            <w:tcW w:w="479" w:type="dxa"/>
            <w:vMerge w:val="restart"/>
          </w:tcPr>
          <w:p w14:paraId="1CFA742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w:t>
            </w:r>
          </w:p>
        </w:tc>
        <w:tc>
          <w:tcPr>
            <w:tcW w:w="1506" w:type="dxa"/>
            <w:vMerge w:val="restart"/>
            <w:vAlign w:val="center"/>
          </w:tcPr>
          <w:p w14:paraId="4F470237"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ADMA</w:t>
            </w:r>
          </w:p>
          <w:p w14:paraId="722CD018"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3C3819F0"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MAIA</w:t>
            </w:r>
          </w:p>
        </w:tc>
        <w:tc>
          <w:tcPr>
            <w:tcW w:w="5103" w:type="dxa"/>
          </w:tcPr>
          <w:p w14:paraId="4F47D159" w14:textId="2C8FD69F"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2014-2020, HG nr. 409/2014</w:t>
            </w:r>
          </w:p>
          <w:p w14:paraId="11370FE9" w14:textId="0AAF1232"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2023-2030, HG nr. 56 din 17.02.2023</w:t>
            </w:r>
          </w:p>
        </w:tc>
        <w:tc>
          <w:tcPr>
            <w:tcW w:w="2693" w:type="dxa"/>
          </w:tcPr>
          <w:p w14:paraId="086A298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de asistență pentru fermierii neprivilegiați 2KR și Proiectul – dezvoltarea unui sistem durabil de gestionare a solurilor din Republica Moldova</w:t>
            </w:r>
          </w:p>
        </w:tc>
        <w:tc>
          <w:tcPr>
            <w:tcW w:w="1418" w:type="dxa"/>
          </w:tcPr>
          <w:p w14:paraId="6BC8B9C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2000 - în derulare (fond circulant)</w:t>
            </w:r>
          </w:p>
        </w:tc>
        <w:tc>
          <w:tcPr>
            <w:tcW w:w="1843" w:type="dxa"/>
          </w:tcPr>
          <w:p w14:paraId="0E8BB993"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Guvernul Japoniei</w:t>
            </w:r>
          </w:p>
        </w:tc>
      </w:tr>
      <w:tr w:rsidR="00E653AF" w:rsidRPr="00483DC7" w14:paraId="5EDA2103" w14:textId="77777777" w:rsidTr="00E653AF">
        <w:trPr>
          <w:trHeight w:val="19"/>
        </w:trPr>
        <w:tc>
          <w:tcPr>
            <w:tcW w:w="479" w:type="dxa"/>
            <w:vMerge/>
          </w:tcPr>
          <w:p w14:paraId="3804E42C"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2EB23018"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04EBE6D5"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6903323F"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 Hotărârea Guvernului nr. 626 din 20.08.2011  „Cu privire la aprobarea Programului de conservare și sporire a fertilității solurilor pentru anii 2011-2020”.</w:t>
            </w:r>
          </w:p>
          <w:p w14:paraId="3AAB95E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 Programului de îmbunătățiri funciare în scopul asigurării managementului durabil al resurselor de sol pentru anii 2021-2025, HG nr. 864 din 09.12.2020</w:t>
            </w:r>
          </w:p>
        </w:tc>
        <w:tc>
          <w:tcPr>
            <w:tcW w:w="2693" w:type="dxa"/>
          </w:tcPr>
          <w:p w14:paraId="63A33BF3"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„Agricultură conservativă – dezvoltarea unui sistem durabil de gestionare a solurilor în Republica Moldova” (PAC)</w:t>
            </w:r>
          </w:p>
        </w:tc>
        <w:tc>
          <w:tcPr>
            <w:tcW w:w="1418" w:type="dxa"/>
          </w:tcPr>
          <w:p w14:paraId="083FC27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2017 – în derulare (fond circulant)</w:t>
            </w:r>
          </w:p>
        </w:tc>
        <w:tc>
          <w:tcPr>
            <w:tcW w:w="1843" w:type="dxa"/>
          </w:tcPr>
          <w:p w14:paraId="11149D1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Guvernul Japoniei</w:t>
            </w:r>
          </w:p>
        </w:tc>
      </w:tr>
      <w:tr w:rsidR="00E653AF" w:rsidRPr="00483DC7" w14:paraId="4C126EE0" w14:textId="77777777" w:rsidTr="00E653AF">
        <w:trPr>
          <w:trHeight w:val="19"/>
        </w:trPr>
        <w:tc>
          <w:tcPr>
            <w:tcW w:w="479" w:type="dxa"/>
            <w:vMerge/>
          </w:tcPr>
          <w:p w14:paraId="713164C0"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0EF312D6"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1E26639A"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41C7C5D7" w14:textId="48DD4EC8"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2014-2020, HG nr. 409/2014</w:t>
            </w:r>
          </w:p>
          <w:p w14:paraId="27FD9A1B" w14:textId="0CD21E5F"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2023-2030, HG nr. 56 din 17.02.2023</w:t>
            </w:r>
          </w:p>
        </w:tc>
        <w:tc>
          <w:tcPr>
            <w:tcW w:w="2693" w:type="dxa"/>
          </w:tcPr>
          <w:p w14:paraId="470DBED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dezvoltării sistemului de irigare la Scară mică (PDSISM)</w:t>
            </w:r>
          </w:p>
        </w:tc>
        <w:tc>
          <w:tcPr>
            <w:tcW w:w="1418" w:type="dxa"/>
          </w:tcPr>
          <w:p w14:paraId="755F57C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2006 – în derulare (fond circulant)</w:t>
            </w:r>
          </w:p>
        </w:tc>
        <w:tc>
          <w:tcPr>
            <w:tcW w:w="1843" w:type="dxa"/>
          </w:tcPr>
          <w:p w14:paraId="65B78266"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Comisia Europeană</w:t>
            </w:r>
          </w:p>
        </w:tc>
      </w:tr>
      <w:tr w:rsidR="00E653AF" w:rsidRPr="00483DC7" w14:paraId="79F91ABE" w14:textId="77777777" w:rsidTr="00E653AF">
        <w:trPr>
          <w:trHeight w:val="19"/>
        </w:trPr>
        <w:tc>
          <w:tcPr>
            <w:tcW w:w="479" w:type="dxa"/>
            <w:vMerge/>
          </w:tcPr>
          <w:p w14:paraId="7A346FD2"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48B2D36F"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0F6624D1"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5C9F1115" w14:textId="5C5AE32C"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 HG nr. 409 din 04.06.2014 cu privire la aprobarea Strategiei naționale de dezvoltare agricolă și rurală pentru anii 2014-2020;</w:t>
            </w:r>
          </w:p>
          <w:p w14:paraId="5D5F4472" w14:textId="47DBFB0E" w:rsidR="00E653AF" w:rsidRPr="00483DC7" w:rsidRDefault="00E653AF" w:rsidP="00E653AF">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 HG nr.751 din 05.10.2011 cu privire la aprobarea Programului de dezvoltare a gospodăririi apelor și a hidroameliorației în RM pentru anii 2011-2020</w:t>
            </w:r>
          </w:p>
        </w:tc>
        <w:tc>
          <w:tcPr>
            <w:tcW w:w="2693" w:type="dxa"/>
          </w:tcPr>
          <w:p w14:paraId="2AD19FE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de vânzări în rate 2kR în agricultură performantă irigată pentru perioada post-compact</w:t>
            </w:r>
          </w:p>
        </w:tc>
        <w:tc>
          <w:tcPr>
            <w:tcW w:w="1418" w:type="dxa"/>
          </w:tcPr>
          <w:p w14:paraId="46EF6C1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2015-2024</w:t>
            </w:r>
          </w:p>
        </w:tc>
        <w:tc>
          <w:tcPr>
            <w:tcW w:w="1843" w:type="dxa"/>
          </w:tcPr>
          <w:p w14:paraId="6A131AD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Provocările Mileniului - USAID</w:t>
            </w:r>
          </w:p>
        </w:tc>
      </w:tr>
      <w:tr w:rsidR="00E653AF" w:rsidRPr="00483DC7" w14:paraId="52DB6049" w14:textId="77777777" w:rsidTr="00E653AF">
        <w:trPr>
          <w:trHeight w:val="19"/>
        </w:trPr>
        <w:tc>
          <w:tcPr>
            <w:tcW w:w="479" w:type="dxa"/>
            <w:vMerge/>
          </w:tcPr>
          <w:p w14:paraId="6483E228"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3288118B"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2915C263"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42CF0EFB" w14:textId="76E5B6C5"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2014-2020, HG nr. 409/2014</w:t>
            </w:r>
          </w:p>
          <w:p w14:paraId="1C7E83CF" w14:textId="1D8D57AB"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Strategia </w:t>
            </w:r>
            <w:r w:rsidR="00483DC7"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2023-2030, HG nr. 56 din 17.02.2023</w:t>
            </w:r>
          </w:p>
        </w:tc>
        <w:tc>
          <w:tcPr>
            <w:tcW w:w="2693" w:type="dxa"/>
          </w:tcPr>
          <w:p w14:paraId="3C9360C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Modernizarea tehnicii și echipamentului agricol (MAME)</w:t>
            </w:r>
          </w:p>
        </w:tc>
        <w:tc>
          <w:tcPr>
            <w:tcW w:w="1418" w:type="dxa"/>
          </w:tcPr>
          <w:p w14:paraId="7CF3D40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2023-2028</w:t>
            </w:r>
          </w:p>
        </w:tc>
        <w:tc>
          <w:tcPr>
            <w:tcW w:w="1843" w:type="dxa"/>
          </w:tcPr>
          <w:p w14:paraId="311A23C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Agenția Japoneză pentru Cooperare Internațională JICA</w:t>
            </w:r>
          </w:p>
        </w:tc>
      </w:tr>
      <w:tr w:rsidR="00E653AF" w:rsidRPr="00483DC7" w14:paraId="1CB3905D" w14:textId="77777777" w:rsidTr="00E653AF">
        <w:trPr>
          <w:trHeight w:val="19"/>
        </w:trPr>
        <w:tc>
          <w:tcPr>
            <w:tcW w:w="479" w:type="dxa"/>
            <w:vMerge/>
          </w:tcPr>
          <w:p w14:paraId="4509A5F0"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1E2FC4BA"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299AD390"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33B2F36F"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Un obiectiv indirect, dedus din textul strategiei: Una dintre sarcinile de bază ale politicilor constă în identificarea căilor de majorare a salariului mediu și consolidarea eforturilor programelor de instruire și studii.</w:t>
            </w:r>
          </w:p>
        </w:tc>
        <w:tc>
          <w:tcPr>
            <w:tcW w:w="2693" w:type="dxa"/>
          </w:tcPr>
          <w:p w14:paraId="7331C50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MBA „Management în Agribusiness”</w:t>
            </w:r>
          </w:p>
        </w:tc>
        <w:tc>
          <w:tcPr>
            <w:tcW w:w="1418" w:type="dxa"/>
          </w:tcPr>
          <w:p w14:paraId="5760D0B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2023-2025</w:t>
            </w:r>
          </w:p>
        </w:tc>
        <w:tc>
          <w:tcPr>
            <w:tcW w:w="1843" w:type="dxa"/>
          </w:tcPr>
          <w:p w14:paraId="38332231"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Guvernul Elvețian</w:t>
            </w:r>
          </w:p>
        </w:tc>
      </w:tr>
      <w:tr w:rsidR="00E653AF" w:rsidRPr="00483DC7" w14:paraId="55EBE4A4" w14:textId="77777777" w:rsidTr="00E653AF">
        <w:trPr>
          <w:trHeight w:val="19"/>
        </w:trPr>
        <w:tc>
          <w:tcPr>
            <w:tcW w:w="479" w:type="dxa"/>
            <w:vMerge w:val="restart"/>
          </w:tcPr>
          <w:p w14:paraId="2FB5FC1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w:t>
            </w:r>
          </w:p>
        </w:tc>
        <w:tc>
          <w:tcPr>
            <w:tcW w:w="1506" w:type="dxa"/>
            <w:vMerge w:val="restart"/>
            <w:vAlign w:val="center"/>
          </w:tcPr>
          <w:p w14:paraId="739553C0"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OGPAE</w:t>
            </w:r>
          </w:p>
          <w:p w14:paraId="42BAD294"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142D4BEA"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MF</w:t>
            </w:r>
          </w:p>
        </w:tc>
        <w:tc>
          <w:tcPr>
            <w:tcW w:w="5103" w:type="dxa"/>
          </w:tcPr>
          <w:p w14:paraId="28C602D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Deciziile Comisiei Excepționale în contextul  stării de urgență în sănătate publică pe întreg teritoriul Republicii Moldova, începând cu martie 2020.</w:t>
            </w:r>
          </w:p>
          <w:p w14:paraId="4F669EE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Strategia Națională de dezvoltare regională a Republicii Moldova pentru anii 2022–2028, aprobată prin HG 40/2022.</w:t>
            </w:r>
          </w:p>
        </w:tc>
        <w:tc>
          <w:tcPr>
            <w:tcW w:w="2693" w:type="dxa"/>
          </w:tcPr>
          <w:p w14:paraId="2EEA1C3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Proiectul COVID-19 Răspuns de urgență și suport pentru întreprinderile mici și mijlocii</w:t>
            </w:r>
          </w:p>
        </w:tc>
        <w:tc>
          <w:tcPr>
            <w:tcW w:w="1418" w:type="dxa"/>
          </w:tcPr>
          <w:p w14:paraId="66495B3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2020 -  2024</w:t>
            </w:r>
          </w:p>
        </w:tc>
        <w:tc>
          <w:tcPr>
            <w:tcW w:w="1843" w:type="dxa"/>
          </w:tcPr>
          <w:p w14:paraId="273C789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de dezvoltare a Consiliului Europei</w:t>
            </w:r>
          </w:p>
        </w:tc>
      </w:tr>
      <w:tr w:rsidR="00E653AF" w:rsidRPr="00483DC7" w14:paraId="0554EBE4" w14:textId="77777777" w:rsidTr="00E653AF">
        <w:trPr>
          <w:trHeight w:val="230"/>
        </w:trPr>
        <w:tc>
          <w:tcPr>
            <w:tcW w:w="479" w:type="dxa"/>
            <w:vMerge/>
          </w:tcPr>
          <w:p w14:paraId="55AF5DF7"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43B4A645"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045B813B"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457977F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regională a Republicii Moldova pentru anii 2022–2028, aprobată prin HG 40/2022.</w:t>
            </w:r>
          </w:p>
        </w:tc>
        <w:tc>
          <w:tcPr>
            <w:tcW w:w="2693" w:type="dxa"/>
          </w:tcPr>
          <w:p w14:paraId="5FFB4BA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operațional comun România – Republica Moldova 2014-2020</w:t>
            </w:r>
          </w:p>
        </w:tc>
        <w:tc>
          <w:tcPr>
            <w:tcW w:w="1418" w:type="dxa"/>
          </w:tcPr>
          <w:p w14:paraId="4691AC6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2021-2023</w:t>
            </w:r>
          </w:p>
        </w:tc>
        <w:tc>
          <w:tcPr>
            <w:tcW w:w="1843" w:type="dxa"/>
          </w:tcPr>
          <w:p w14:paraId="5D90568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European de Dezvoltare Regională, Comisia Europeană</w:t>
            </w:r>
          </w:p>
        </w:tc>
      </w:tr>
      <w:tr w:rsidR="00E653AF" w:rsidRPr="00483DC7" w14:paraId="71977397" w14:textId="77777777" w:rsidTr="00E653AF">
        <w:trPr>
          <w:trHeight w:val="19"/>
        </w:trPr>
        <w:tc>
          <w:tcPr>
            <w:tcW w:w="479" w:type="dxa"/>
            <w:vMerge/>
          </w:tcPr>
          <w:p w14:paraId="25EA31B1"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24811F0E"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08912811"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43BACEB2" w14:textId="77777777" w:rsidR="00E653AF" w:rsidRPr="00483DC7" w:rsidRDefault="00E653AF" w:rsidP="00E653AF">
            <w:pPr>
              <w:spacing w:after="0"/>
              <w:rPr>
                <w:rFonts w:ascii="Times New Roman" w:hAnsi="Times New Roman" w:cs="Times New Roman"/>
                <w:sz w:val="20"/>
                <w:szCs w:val="20"/>
                <w:lang w:val="ro-MD"/>
              </w:rPr>
            </w:pPr>
          </w:p>
        </w:tc>
        <w:tc>
          <w:tcPr>
            <w:tcW w:w="2693" w:type="dxa"/>
          </w:tcPr>
          <w:p w14:paraId="7098572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Transnațional Dunărea 2014-2020</w:t>
            </w:r>
          </w:p>
        </w:tc>
        <w:tc>
          <w:tcPr>
            <w:tcW w:w="1418" w:type="dxa"/>
          </w:tcPr>
          <w:p w14:paraId="1F557BB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2021-2023</w:t>
            </w:r>
          </w:p>
        </w:tc>
        <w:tc>
          <w:tcPr>
            <w:tcW w:w="1843" w:type="dxa"/>
          </w:tcPr>
          <w:p w14:paraId="2D780D0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European de Dezvoltare Regională, Comisia Europeană</w:t>
            </w:r>
          </w:p>
        </w:tc>
      </w:tr>
      <w:tr w:rsidR="00E653AF" w:rsidRPr="00483DC7" w14:paraId="72918441" w14:textId="77777777" w:rsidTr="00E653AF">
        <w:trPr>
          <w:trHeight w:val="19"/>
        </w:trPr>
        <w:tc>
          <w:tcPr>
            <w:tcW w:w="479" w:type="dxa"/>
            <w:vMerge w:val="restart"/>
          </w:tcPr>
          <w:p w14:paraId="5A3A69B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3</w:t>
            </w:r>
          </w:p>
        </w:tc>
        <w:tc>
          <w:tcPr>
            <w:tcW w:w="1506" w:type="dxa"/>
            <w:vMerge w:val="restart"/>
            <w:vAlign w:val="center"/>
          </w:tcPr>
          <w:p w14:paraId="0DF6165B"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ONDRL</w:t>
            </w:r>
          </w:p>
          <w:p w14:paraId="34C44D1E"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69CF4A3E"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MIDR</w:t>
            </w:r>
          </w:p>
          <w:p w14:paraId="50601E44"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1275E635" w14:textId="4699F761" w:rsidR="00E653AF" w:rsidRPr="00483DC7" w:rsidRDefault="00E653AF" w:rsidP="00205477">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w:t>
            </w:r>
            <w:r w:rsidR="00A409B6">
              <w:rPr>
                <w:rFonts w:ascii="Times New Roman" w:hAnsi="Times New Roman" w:cs="Times New Roman"/>
                <w:sz w:val="20"/>
                <w:szCs w:val="20"/>
                <w:lang w:val="ro-MD"/>
              </w:rPr>
              <w:t>i</w:t>
            </w:r>
            <w:r w:rsidR="00205477">
              <w:rPr>
                <w:rFonts w:ascii="Times New Roman" w:hAnsi="Times New Roman" w:cs="Times New Roman"/>
                <w:sz w:val="20"/>
                <w:szCs w:val="20"/>
                <w:lang w:val="ro-MD"/>
              </w:rPr>
              <w:t>a</w:t>
            </w:r>
            <w:r w:rsidRPr="00483DC7">
              <w:rPr>
                <w:rFonts w:ascii="Times New Roman" w:hAnsi="Times New Roman" w:cs="Times New Roman"/>
                <w:sz w:val="20"/>
                <w:szCs w:val="20"/>
                <w:lang w:val="ro-MD"/>
              </w:rPr>
              <w:t xml:space="preserve"> de alimentare cu apă şi </w:t>
            </w:r>
            <w:r w:rsidR="006728E5" w:rsidRPr="00483DC7">
              <w:rPr>
                <w:rFonts w:ascii="Times New Roman" w:hAnsi="Times New Roman" w:cs="Times New Roman"/>
                <w:sz w:val="20"/>
                <w:szCs w:val="20"/>
                <w:lang w:val="ro-MD"/>
              </w:rPr>
              <w:t>sanitație</w:t>
            </w:r>
            <w:r w:rsidRPr="00483DC7">
              <w:rPr>
                <w:rFonts w:ascii="Times New Roman" w:hAnsi="Times New Roman" w:cs="Times New Roman"/>
                <w:sz w:val="20"/>
                <w:szCs w:val="20"/>
                <w:lang w:val="ro-MD"/>
              </w:rPr>
              <w:t xml:space="preserve"> (2014-2030) aprobată prin HG nr. 199/2014</w:t>
            </w:r>
          </w:p>
        </w:tc>
        <w:tc>
          <w:tcPr>
            <w:tcW w:w="2693" w:type="dxa"/>
          </w:tcPr>
          <w:p w14:paraId="500D280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Securitatea aprovizionării cu apă și sanitație în Moldova</w:t>
            </w:r>
          </w:p>
        </w:tc>
        <w:tc>
          <w:tcPr>
            <w:tcW w:w="1418" w:type="dxa"/>
          </w:tcPr>
          <w:p w14:paraId="23C4F41A"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2022-2027</w:t>
            </w:r>
          </w:p>
        </w:tc>
        <w:tc>
          <w:tcPr>
            <w:tcW w:w="1843" w:type="dxa"/>
          </w:tcPr>
          <w:p w14:paraId="55D54A5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Asociația Internațională de Dezvoltare</w:t>
            </w:r>
          </w:p>
        </w:tc>
      </w:tr>
      <w:tr w:rsidR="00E653AF" w:rsidRPr="00483DC7" w14:paraId="213D2D29" w14:textId="77777777" w:rsidTr="00E653AF">
        <w:trPr>
          <w:trHeight w:val="19"/>
        </w:trPr>
        <w:tc>
          <w:tcPr>
            <w:tcW w:w="479" w:type="dxa"/>
            <w:vMerge/>
          </w:tcPr>
          <w:p w14:paraId="538BA899"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2FCFE082"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54E4966B"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606B73BE" w14:textId="77777777" w:rsidR="00E653AF" w:rsidRPr="00483DC7" w:rsidRDefault="00E653AF" w:rsidP="00E653AF">
            <w:pPr>
              <w:spacing w:after="0"/>
              <w:rPr>
                <w:rFonts w:ascii="Times New Roman" w:hAnsi="Times New Roman" w:cs="Times New Roman"/>
                <w:sz w:val="20"/>
                <w:szCs w:val="20"/>
                <w:lang w:val="ro-MD"/>
              </w:rPr>
            </w:pPr>
          </w:p>
        </w:tc>
        <w:tc>
          <w:tcPr>
            <w:tcW w:w="2693" w:type="dxa"/>
          </w:tcPr>
          <w:p w14:paraId="154416F1"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„Îmbunătățirea Calității Educației”</w:t>
            </w:r>
          </w:p>
        </w:tc>
        <w:tc>
          <w:tcPr>
            <w:tcW w:w="1418" w:type="dxa"/>
          </w:tcPr>
          <w:p w14:paraId="7030EA0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2023- 2029</w:t>
            </w:r>
          </w:p>
        </w:tc>
        <w:tc>
          <w:tcPr>
            <w:tcW w:w="1843" w:type="dxa"/>
          </w:tcPr>
          <w:p w14:paraId="1F8DE2A9" w14:textId="77777777" w:rsidR="00E653AF" w:rsidRPr="00483DC7" w:rsidRDefault="00E653AF" w:rsidP="00E653AF">
            <w:pPr>
              <w:spacing w:after="0"/>
              <w:rPr>
                <w:rFonts w:ascii="Times New Roman" w:hAnsi="Times New Roman" w:cs="Times New Roman"/>
                <w:sz w:val="20"/>
                <w:szCs w:val="20"/>
                <w:lang w:val="ro-MD"/>
              </w:rPr>
            </w:pPr>
          </w:p>
        </w:tc>
      </w:tr>
      <w:tr w:rsidR="00E653AF" w:rsidRPr="00483DC7" w14:paraId="2A255B75" w14:textId="77777777" w:rsidTr="00E653AF">
        <w:trPr>
          <w:trHeight w:val="230"/>
        </w:trPr>
        <w:tc>
          <w:tcPr>
            <w:tcW w:w="479" w:type="dxa"/>
            <w:vMerge w:val="restart"/>
          </w:tcPr>
          <w:p w14:paraId="42FA477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4</w:t>
            </w:r>
          </w:p>
        </w:tc>
        <w:tc>
          <w:tcPr>
            <w:tcW w:w="1506" w:type="dxa"/>
            <w:vMerge w:val="restart"/>
            <w:vAlign w:val="center"/>
          </w:tcPr>
          <w:p w14:paraId="1694D509"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ONIPM</w:t>
            </w:r>
          </w:p>
          <w:p w14:paraId="66BD7935"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0DDFD646"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MM</w:t>
            </w:r>
          </w:p>
          <w:p w14:paraId="5F2C041C"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36A6875B" w14:textId="617142D9" w:rsidR="00E653AF" w:rsidRPr="00483DC7" w:rsidRDefault="006728E5"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 </w:t>
            </w:r>
            <w:r w:rsidR="00E653AF" w:rsidRPr="00483DC7">
              <w:rPr>
                <w:rFonts w:ascii="Times New Roman" w:hAnsi="Times New Roman" w:cs="Times New Roman"/>
                <w:sz w:val="20"/>
                <w:szCs w:val="20"/>
                <w:lang w:val="ro-MD"/>
              </w:rPr>
              <w:t xml:space="preserve">Strategia de gestionare a </w:t>
            </w:r>
            <w:r w:rsidRPr="00483DC7">
              <w:rPr>
                <w:rFonts w:ascii="Times New Roman" w:hAnsi="Times New Roman" w:cs="Times New Roman"/>
                <w:sz w:val="20"/>
                <w:szCs w:val="20"/>
                <w:lang w:val="ro-MD"/>
              </w:rPr>
              <w:t>deșeurilor</w:t>
            </w:r>
            <w:r w:rsidR="00E653AF" w:rsidRPr="00483DC7">
              <w:rPr>
                <w:rFonts w:ascii="Times New Roman" w:hAnsi="Times New Roman" w:cs="Times New Roman"/>
                <w:sz w:val="20"/>
                <w:szCs w:val="20"/>
                <w:lang w:val="ro-MD"/>
              </w:rPr>
              <w:t xml:space="preserve"> în Republica Moldova pentru anii 2013-2027, HG nr. 248 din 10.04.2013</w:t>
            </w:r>
          </w:p>
          <w:p w14:paraId="2DA37817" w14:textId="2236F877" w:rsidR="00E653AF" w:rsidRPr="00483DC7" w:rsidRDefault="006728E5"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w:t>
            </w:r>
            <w:r w:rsidR="00E653AF" w:rsidRPr="00483DC7">
              <w:rPr>
                <w:rFonts w:ascii="Times New Roman" w:hAnsi="Times New Roman" w:cs="Times New Roman"/>
                <w:sz w:val="20"/>
                <w:szCs w:val="20"/>
                <w:lang w:val="ro-MD"/>
              </w:rPr>
              <w:t>Strategia de mediu pentru anii 2014-2023, aprobată prin HG 301/2014</w:t>
            </w:r>
          </w:p>
        </w:tc>
        <w:tc>
          <w:tcPr>
            <w:tcW w:w="2693" w:type="dxa"/>
          </w:tcPr>
          <w:p w14:paraId="7342CF83"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Deșeuri Solide în Republica Moldova</w:t>
            </w:r>
          </w:p>
        </w:tc>
        <w:tc>
          <w:tcPr>
            <w:tcW w:w="1418" w:type="dxa"/>
          </w:tcPr>
          <w:p w14:paraId="651FC78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2020-2030</w:t>
            </w:r>
          </w:p>
        </w:tc>
        <w:tc>
          <w:tcPr>
            <w:tcW w:w="1843" w:type="dxa"/>
          </w:tcPr>
          <w:p w14:paraId="0F367876"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BEI, BERD,</w:t>
            </w:r>
          </w:p>
          <w:p w14:paraId="37B8085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Parteneriatului Europei de Est pentru Eficiență energetică</w:t>
            </w:r>
          </w:p>
        </w:tc>
      </w:tr>
      <w:tr w:rsidR="004A1BBC" w:rsidRPr="00483DC7" w14:paraId="640737A1" w14:textId="77777777" w:rsidTr="00E653AF">
        <w:trPr>
          <w:trHeight w:val="19"/>
        </w:trPr>
        <w:tc>
          <w:tcPr>
            <w:tcW w:w="479" w:type="dxa"/>
            <w:vMerge/>
          </w:tcPr>
          <w:p w14:paraId="64C7AF00" w14:textId="77777777" w:rsidR="004A1BBC" w:rsidRPr="00483DC7" w:rsidRDefault="004A1BBC" w:rsidP="00E653AF">
            <w:pPr>
              <w:spacing w:after="0"/>
              <w:rPr>
                <w:rFonts w:ascii="Times New Roman" w:hAnsi="Times New Roman" w:cs="Times New Roman"/>
                <w:sz w:val="20"/>
                <w:szCs w:val="20"/>
                <w:lang w:val="ro-MD"/>
              </w:rPr>
            </w:pPr>
          </w:p>
        </w:tc>
        <w:tc>
          <w:tcPr>
            <w:tcW w:w="1506" w:type="dxa"/>
            <w:vMerge/>
            <w:vAlign w:val="center"/>
          </w:tcPr>
          <w:p w14:paraId="5B916F9C" w14:textId="77777777" w:rsidR="004A1BBC" w:rsidRPr="00483DC7" w:rsidRDefault="004A1BBC" w:rsidP="00E653AF">
            <w:pPr>
              <w:spacing w:after="0"/>
              <w:jc w:val="center"/>
              <w:rPr>
                <w:rFonts w:ascii="Times New Roman" w:hAnsi="Times New Roman" w:cs="Times New Roman"/>
                <w:sz w:val="20"/>
                <w:szCs w:val="20"/>
                <w:lang w:val="ro-MD"/>
              </w:rPr>
            </w:pPr>
          </w:p>
        </w:tc>
        <w:tc>
          <w:tcPr>
            <w:tcW w:w="1134" w:type="dxa"/>
            <w:vMerge/>
            <w:vAlign w:val="center"/>
          </w:tcPr>
          <w:p w14:paraId="7573A0FD" w14:textId="77777777" w:rsidR="004A1BBC" w:rsidRPr="00483DC7" w:rsidRDefault="004A1BBC" w:rsidP="00E653AF">
            <w:pPr>
              <w:spacing w:after="0"/>
              <w:jc w:val="center"/>
              <w:rPr>
                <w:rFonts w:ascii="Times New Roman" w:hAnsi="Times New Roman" w:cs="Times New Roman"/>
                <w:sz w:val="20"/>
                <w:szCs w:val="20"/>
                <w:lang w:val="ro-MD"/>
              </w:rPr>
            </w:pPr>
          </w:p>
        </w:tc>
        <w:tc>
          <w:tcPr>
            <w:tcW w:w="5103" w:type="dxa"/>
          </w:tcPr>
          <w:p w14:paraId="361A2EE6" w14:textId="0EBE184A" w:rsidR="004A1BBC" w:rsidRPr="00483DC7" w:rsidRDefault="004A1BBC"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 Convenția-cadrul a Organizației Națiunilor Unite cu privire la schimbarea climei, adoptat/încheiat la New York la 09.05.1992. În vigoare pentru RM din 07.09.1995.</w:t>
            </w:r>
          </w:p>
          <w:p w14:paraId="3D11017E" w14:textId="77DD2166" w:rsidR="004A1BBC" w:rsidRPr="00483DC7" w:rsidRDefault="004A1BBC"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Protocolul de la Kyoto la Convenția-cadru a Organizației Națiunilor Unite cu privire la schimbarea climei. Adoptat/încheiat la Kyoto la 11.12.1997. În vigoare pentru RM din 22.04.2003. </w:t>
            </w:r>
          </w:p>
          <w:p w14:paraId="647ECE25" w14:textId="3062D615" w:rsidR="004A1BBC" w:rsidRPr="00483DC7" w:rsidRDefault="004A1BBC"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Acordul de la Paris. Adoptat/încheiat la Paris la 12.12.2015, semnat de către RM la New York la 21.09.201. În vigoare pentru RM din 20.07.2017.</w:t>
            </w:r>
          </w:p>
          <w:p w14:paraId="5ABBAA49" w14:textId="23098922" w:rsidR="004A1BBC" w:rsidRPr="00483DC7" w:rsidRDefault="004A1BBC"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w:t>
            </w:r>
            <w:r w:rsidR="006728E5" w:rsidRPr="00483DC7">
              <w:rPr>
                <w:rFonts w:ascii="Times New Roman" w:hAnsi="Times New Roman" w:cs="Times New Roman"/>
                <w:sz w:val="20"/>
                <w:szCs w:val="20"/>
                <w:lang w:val="ro-MD"/>
              </w:rPr>
              <w:t>4</w:t>
            </w:r>
            <w:r w:rsidRPr="00483DC7">
              <w:rPr>
                <w:rFonts w:ascii="Times New Roman" w:hAnsi="Times New Roman" w:cs="Times New Roman"/>
                <w:sz w:val="20"/>
                <w:szCs w:val="20"/>
                <w:lang w:val="ro-MD"/>
              </w:rPr>
              <w:t>)</w:t>
            </w:r>
            <w:r w:rsidR="006728E5" w:rsidRPr="00483DC7">
              <w:rPr>
                <w:rFonts w:ascii="Times New Roman" w:hAnsi="Times New Roman" w:cs="Times New Roman"/>
                <w:sz w:val="20"/>
                <w:szCs w:val="20"/>
                <w:lang w:val="ro-MD"/>
              </w:rPr>
              <w:t xml:space="preserve"> HG nr.1277/2018 cu privire la instituirea și funcționarea Sistemului național de monitorizare și raportare a emisiilor de gaze cu efect de seră și altor informații relevante pentru schimbările climatice.</w:t>
            </w:r>
          </w:p>
          <w:p w14:paraId="3FDEA73B" w14:textId="596B8AEF" w:rsidR="006728E5" w:rsidRPr="00483DC7" w:rsidRDefault="006728E5"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(5) Strategia Națională de Dezvoltare „Moldova Europeană 2030”, aprobată prin Legea nr.315/2022.</w:t>
            </w:r>
          </w:p>
          <w:p w14:paraId="0DBDC792" w14:textId="43E05628" w:rsidR="006728E5" w:rsidRPr="00483DC7" w:rsidRDefault="006728E5"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 Programul de dezvoltare cu emisii reduse al RM până în 2030, aprobat prin HG nr.659/2023.</w:t>
            </w:r>
          </w:p>
          <w:p w14:paraId="6FF40AA2" w14:textId="474A6D05" w:rsidR="004A1BBC" w:rsidRPr="00483DC7" w:rsidRDefault="000A480B"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(7) Programul național de adaptare la schimbările climatice până în anul 2030, aprobat prin HG nr.624/2023. </w:t>
            </w:r>
          </w:p>
        </w:tc>
        <w:tc>
          <w:tcPr>
            <w:tcW w:w="2693" w:type="dxa"/>
          </w:tcPr>
          <w:p w14:paraId="0048EB75" w14:textId="3F5F8EB6" w:rsidR="004A1BBC" w:rsidRPr="00483DC7" w:rsidRDefault="004A1BBC"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Proiectul UNEP/GEF „Republica Moldova: Pregătirea comunicării Naționale Cinci în cadrul Convenției-cadrul a Organizației Națiunilor Unite pentru schimbările climatice”</w:t>
            </w:r>
          </w:p>
        </w:tc>
        <w:tc>
          <w:tcPr>
            <w:tcW w:w="1418" w:type="dxa"/>
          </w:tcPr>
          <w:p w14:paraId="087D8BB3" w14:textId="0EEE3819" w:rsidR="004A1BBC" w:rsidRPr="00483DC7" w:rsidRDefault="004A1BBC"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2019-2023</w:t>
            </w:r>
          </w:p>
        </w:tc>
        <w:tc>
          <w:tcPr>
            <w:tcW w:w="1843" w:type="dxa"/>
          </w:tcPr>
          <w:p w14:paraId="5364FB3D" w14:textId="4E4CE97A" w:rsidR="004A1BBC" w:rsidRPr="00483DC7" w:rsidRDefault="004A1BBC"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ONU Programul Națiunilor Unite pentru Mediu (UNEP)</w:t>
            </w:r>
          </w:p>
        </w:tc>
      </w:tr>
      <w:tr w:rsidR="00E653AF" w:rsidRPr="00483DC7" w14:paraId="485777EA" w14:textId="77777777" w:rsidTr="00E653AF">
        <w:trPr>
          <w:trHeight w:val="19"/>
        </w:trPr>
        <w:tc>
          <w:tcPr>
            <w:tcW w:w="479" w:type="dxa"/>
            <w:vMerge/>
          </w:tcPr>
          <w:p w14:paraId="7EB2BD51"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2A15D685"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22D37D2B"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506CF831" w14:textId="5BF7157A" w:rsidR="000A480B" w:rsidRPr="00483DC7" w:rsidRDefault="000A480B"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 Convenția-cadrul a Organizației Națiunilor Unite cu privire la schimbarea climei, adoptat/încheiat la New York la 09.05.1992. În vigoare pentru RM din 07.09.1995.</w:t>
            </w:r>
          </w:p>
          <w:p w14:paraId="23766CFC" w14:textId="77777777" w:rsidR="000A480B" w:rsidRPr="00483DC7" w:rsidRDefault="000A480B" w:rsidP="000A480B">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 Protocolul de la Kyoto la Convenția-cadru a Organizației Națiunilor Unite cu privire la schimbarea climei. Adoptat/încheiat la Kyoto la 11.12.1997. În vigoare pentru RM din 22.04.2003. </w:t>
            </w:r>
          </w:p>
          <w:p w14:paraId="23A7D08D" w14:textId="523E8BE3" w:rsidR="000A480B" w:rsidRPr="00483DC7" w:rsidRDefault="000A480B"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Acordul de la Paris. Adoptat/încheiat la Paris la 12.12.2015, semnat de către RM la New York la 21.09.201. În vigoare pentru RM din 20.07.2017.</w:t>
            </w:r>
          </w:p>
          <w:p w14:paraId="4489665F" w14:textId="1154B392" w:rsidR="000A480B" w:rsidRPr="00483DC7" w:rsidRDefault="000A480B"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 HG nr.1277/2018 cu privire la instituirea și funcționarea Sistemului național de monitorizare și raportare a emisiilor de gaze cu efect de seră și altor informații relevante pentru schimbările climatice.</w:t>
            </w:r>
          </w:p>
          <w:p w14:paraId="79799F68" w14:textId="53D4CD58" w:rsidR="000A480B" w:rsidRPr="00483DC7" w:rsidRDefault="000A480B"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(5) Strategia Națională de Dezvoltare „Moldova Europeană 2030”, aprobată prin Legea nr.315/2022.</w:t>
            </w:r>
          </w:p>
          <w:p w14:paraId="4B6B1EC5" w14:textId="47D026FD" w:rsidR="000A480B" w:rsidRPr="00483DC7" w:rsidRDefault="000A480B" w:rsidP="000A480B">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 Programul de dezvoltare cu emisii reduse al RM până în 2030, aprobat prin HG nr.659/2023.</w:t>
            </w:r>
          </w:p>
          <w:p w14:paraId="06CAC768" w14:textId="67884255" w:rsidR="00E653AF" w:rsidRPr="00483DC7" w:rsidRDefault="000A480B" w:rsidP="000A480B">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(7) Programul național de adaptare la schimbările climatice până în anul 2030, aprobat prin HG nr.624/2023. </w:t>
            </w:r>
          </w:p>
        </w:tc>
        <w:tc>
          <w:tcPr>
            <w:tcW w:w="2693" w:type="dxa"/>
          </w:tcPr>
          <w:p w14:paraId="2C50820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“Activități de pregătire a rapoartelor bienale de transparență (BTR) conform Convenției-cadru a ONU privind schimbările climatice (UNFCCC)</w:t>
            </w:r>
          </w:p>
        </w:tc>
        <w:tc>
          <w:tcPr>
            <w:tcW w:w="1418" w:type="dxa"/>
          </w:tcPr>
          <w:p w14:paraId="2799F91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2022-2025</w:t>
            </w:r>
          </w:p>
        </w:tc>
        <w:tc>
          <w:tcPr>
            <w:tcW w:w="1843" w:type="dxa"/>
          </w:tcPr>
          <w:p w14:paraId="58F52B43"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ONU</w:t>
            </w:r>
          </w:p>
          <w:p w14:paraId="50898F9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Națiunilor Unite pentru Mediu (UNEP)</w:t>
            </w:r>
          </w:p>
        </w:tc>
      </w:tr>
      <w:tr w:rsidR="00E653AF" w:rsidRPr="00483DC7" w14:paraId="1D2A79BA" w14:textId="77777777" w:rsidTr="00E653AF">
        <w:trPr>
          <w:trHeight w:val="19"/>
        </w:trPr>
        <w:tc>
          <w:tcPr>
            <w:tcW w:w="479" w:type="dxa"/>
            <w:vMerge/>
          </w:tcPr>
          <w:p w14:paraId="5EA02BD7"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41BEBD28"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4D6B9081"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32939110" w14:textId="77777777" w:rsidR="00E653AF" w:rsidRPr="00483DC7" w:rsidRDefault="00E653AF"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privind managementul deșeurilor radioactive pentru anii 2017–2026, aprobată prin Legea nr. 68/2017</w:t>
            </w:r>
          </w:p>
        </w:tc>
        <w:tc>
          <w:tcPr>
            <w:tcW w:w="2693" w:type="dxa"/>
          </w:tcPr>
          <w:p w14:paraId="6230D160" w14:textId="77777777" w:rsidR="00E653AF" w:rsidRPr="00483DC7" w:rsidRDefault="00E653AF" w:rsidP="000A480B">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Support to Post-ratification of the Minamate Convention to the Republic of Moldova by Building Phase-Down Capacities and Reducing Risks Associated with Mercury</w:t>
            </w:r>
          </w:p>
        </w:tc>
        <w:tc>
          <w:tcPr>
            <w:tcW w:w="1418" w:type="dxa"/>
          </w:tcPr>
          <w:p w14:paraId="05DD436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2020-2023</w:t>
            </w:r>
          </w:p>
        </w:tc>
        <w:tc>
          <w:tcPr>
            <w:tcW w:w="1843" w:type="dxa"/>
          </w:tcPr>
          <w:p w14:paraId="147016C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ONU</w:t>
            </w:r>
          </w:p>
          <w:p w14:paraId="2B27490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Națiunilor Unite pentru Mediu (UNEP)</w:t>
            </w:r>
          </w:p>
        </w:tc>
      </w:tr>
      <w:tr w:rsidR="00E653AF" w:rsidRPr="00483DC7" w14:paraId="4A3B50A2" w14:textId="77777777" w:rsidTr="00E653AF">
        <w:trPr>
          <w:trHeight w:val="19"/>
        </w:trPr>
        <w:tc>
          <w:tcPr>
            <w:tcW w:w="479" w:type="dxa"/>
            <w:vMerge/>
          </w:tcPr>
          <w:p w14:paraId="018C8DAB"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08239C56"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59314018"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5174CE8B" w14:textId="427C7B77" w:rsidR="00E653AF" w:rsidRPr="00483DC7" w:rsidRDefault="00E653AF" w:rsidP="00E653AF">
            <w:pPr>
              <w:pStyle w:val="ListParagraph"/>
              <w:tabs>
                <w:tab w:val="left" w:pos="0"/>
                <w:tab w:val="left" w:pos="192"/>
              </w:tabs>
              <w:spacing w:after="0"/>
              <w:ind w:left="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Programul de suprimare </w:t>
            </w:r>
            <w:r w:rsidR="006728E5" w:rsidRPr="00483DC7">
              <w:rPr>
                <w:rFonts w:ascii="Times New Roman" w:hAnsi="Times New Roman" w:cs="Times New Roman"/>
                <w:sz w:val="20"/>
                <w:szCs w:val="20"/>
                <w:lang w:val="ro-MD"/>
              </w:rPr>
              <w:t>eșalonată</w:t>
            </w:r>
            <w:r w:rsidRPr="00483DC7">
              <w:rPr>
                <w:rFonts w:ascii="Times New Roman" w:hAnsi="Times New Roman" w:cs="Times New Roman"/>
                <w:sz w:val="20"/>
                <w:szCs w:val="20"/>
                <w:lang w:val="ro-MD"/>
              </w:rPr>
              <w:t xml:space="preserve"> a hidroclorofluorocarburilor halogenate pentru anii 2016-2040, aprobat prin HG 856/2016</w:t>
            </w:r>
          </w:p>
          <w:p w14:paraId="0924895C" w14:textId="77777777" w:rsidR="00E653AF" w:rsidRPr="00483DC7" w:rsidRDefault="00E653AF" w:rsidP="00E653AF">
            <w:pPr>
              <w:spacing w:after="0"/>
              <w:rPr>
                <w:rFonts w:ascii="Times New Roman" w:hAnsi="Times New Roman" w:cs="Times New Roman"/>
                <w:sz w:val="20"/>
                <w:szCs w:val="20"/>
                <w:lang w:val="ro-MD"/>
              </w:rPr>
            </w:pPr>
          </w:p>
        </w:tc>
        <w:tc>
          <w:tcPr>
            <w:tcW w:w="2693" w:type="dxa"/>
          </w:tcPr>
          <w:p w14:paraId="59B6403F" w14:textId="77777777" w:rsidR="00E653AF" w:rsidRPr="00483DC7" w:rsidRDefault="00E653AF" w:rsidP="000A480B">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 xml:space="preserve">Implementarea tranșei 1 din Faza III a Planului de management pentru </w:t>
            </w:r>
            <w:r w:rsidRPr="00483DC7">
              <w:rPr>
                <w:rFonts w:ascii="Times New Roman" w:hAnsi="Times New Roman" w:cs="Times New Roman"/>
                <w:sz w:val="20"/>
                <w:szCs w:val="20"/>
                <w:lang w:val="ro-MD"/>
              </w:rPr>
              <w:lastRenderedPageBreak/>
              <w:t>suprimarea eșalonată a hidroclorofluorocarburilor HCFC în RM” (componenta UNEP)</w:t>
            </w:r>
          </w:p>
        </w:tc>
        <w:tc>
          <w:tcPr>
            <w:tcW w:w="1418" w:type="dxa"/>
          </w:tcPr>
          <w:p w14:paraId="3FCBA91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2022-2024</w:t>
            </w:r>
          </w:p>
        </w:tc>
        <w:tc>
          <w:tcPr>
            <w:tcW w:w="1843" w:type="dxa"/>
          </w:tcPr>
          <w:p w14:paraId="0321FEDF"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Fondul Multilateral pentru implementarea </w:t>
            </w:r>
            <w:r w:rsidRPr="00483DC7">
              <w:rPr>
                <w:rFonts w:ascii="Times New Roman" w:hAnsi="Times New Roman" w:cs="Times New Roman"/>
                <w:sz w:val="20"/>
                <w:szCs w:val="20"/>
                <w:lang w:val="ro-MD"/>
              </w:rPr>
              <w:lastRenderedPageBreak/>
              <w:t>protocolului de la Montreal</w:t>
            </w:r>
          </w:p>
        </w:tc>
      </w:tr>
      <w:tr w:rsidR="00E653AF" w:rsidRPr="00483DC7" w14:paraId="31A84E3C" w14:textId="77777777" w:rsidTr="00E653AF">
        <w:trPr>
          <w:trHeight w:val="19"/>
        </w:trPr>
        <w:tc>
          <w:tcPr>
            <w:tcW w:w="479" w:type="dxa"/>
            <w:vMerge/>
          </w:tcPr>
          <w:p w14:paraId="6091235B"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3B0635FF"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78524C9A"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0851AF67" w14:textId="5126B750" w:rsidR="00E653AF" w:rsidRPr="00483DC7" w:rsidRDefault="00A123D9"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de suprimare eșalonată a hidroclorofluorocarburilor halogenate pentru anii 2016-2040, aprobat prin HG nr.856/2016</w:t>
            </w:r>
          </w:p>
        </w:tc>
        <w:tc>
          <w:tcPr>
            <w:tcW w:w="2693" w:type="dxa"/>
          </w:tcPr>
          <w:p w14:paraId="40C2B4D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Consolidarea Instituțională pentru implementarea Protocolului de la Montreal în RM, faza 12</w:t>
            </w:r>
          </w:p>
        </w:tc>
        <w:tc>
          <w:tcPr>
            <w:tcW w:w="1418" w:type="dxa"/>
          </w:tcPr>
          <w:p w14:paraId="08A0A5A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2023-2026</w:t>
            </w:r>
          </w:p>
        </w:tc>
        <w:tc>
          <w:tcPr>
            <w:tcW w:w="1843" w:type="dxa"/>
          </w:tcPr>
          <w:p w14:paraId="1600A43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Multilateral pentru implementarea protocolului de la Montreal</w:t>
            </w:r>
          </w:p>
        </w:tc>
      </w:tr>
      <w:tr w:rsidR="000A480B" w:rsidRPr="00483DC7" w14:paraId="4D757A69" w14:textId="77777777" w:rsidTr="00E653AF">
        <w:trPr>
          <w:trHeight w:val="19"/>
        </w:trPr>
        <w:tc>
          <w:tcPr>
            <w:tcW w:w="479" w:type="dxa"/>
            <w:vMerge/>
          </w:tcPr>
          <w:p w14:paraId="20CE2A7E" w14:textId="77777777" w:rsidR="000A480B" w:rsidRPr="00483DC7" w:rsidRDefault="000A480B" w:rsidP="00E653AF">
            <w:pPr>
              <w:spacing w:after="0"/>
              <w:rPr>
                <w:rFonts w:ascii="Times New Roman" w:hAnsi="Times New Roman" w:cs="Times New Roman"/>
                <w:sz w:val="20"/>
                <w:szCs w:val="20"/>
                <w:lang w:val="ro-MD"/>
              </w:rPr>
            </w:pPr>
          </w:p>
        </w:tc>
        <w:tc>
          <w:tcPr>
            <w:tcW w:w="1506" w:type="dxa"/>
            <w:vMerge/>
            <w:vAlign w:val="center"/>
          </w:tcPr>
          <w:p w14:paraId="2040DD52" w14:textId="77777777" w:rsidR="000A480B" w:rsidRPr="00483DC7" w:rsidRDefault="000A480B" w:rsidP="00E653AF">
            <w:pPr>
              <w:spacing w:after="0"/>
              <w:jc w:val="center"/>
              <w:rPr>
                <w:rFonts w:ascii="Times New Roman" w:hAnsi="Times New Roman" w:cs="Times New Roman"/>
                <w:sz w:val="20"/>
                <w:szCs w:val="20"/>
                <w:lang w:val="ro-MD"/>
              </w:rPr>
            </w:pPr>
          </w:p>
        </w:tc>
        <w:tc>
          <w:tcPr>
            <w:tcW w:w="1134" w:type="dxa"/>
            <w:vMerge/>
            <w:vAlign w:val="center"/>
          </w:tcPr>
          <w:p w14:paraId="73775972" w14:textId="77777777" w:rsidR="000A480B" w:rsidRPr="00483DC7" w:rsidRDefault="000A480B" w:rsidP="00E653AF">
            <w:pPr>
              <w:spacing w:after="0"/>
              <w:jc w:val="center"/>
              <w:rPr>
                <w:rFonts w:ascii="Times New Roman" w:hAnsi="Times New Roman" w:cs="Times New Roman"/>
                <w:sz w:val="20"/>
                <w:szCs w:val="20"/>
                <w:lang w:val="ro-MD"/>
              </w:rPr>
            </w:pPr>
          </w:p>
        </w:tc>
        <w:tc>
          <w:tcPr>
            <w:tcW w:w="5103" w:type="dxa"/>
            <w:vMerge w:val="restart"/>
          </w:tcPr>
          <w:p w14:paraId="45617050" w14:textId="77777777" w:rsidR="000A480B" w:rsidRPr="00483DC7" w:rsidRDefault="000A480B"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 Strategia de Mediu pentru anii 2023-2030;</w:t>
            </w:r>
          </w:p>
          <w:p w14:paraId="207FCA57" w14:textId="77777777" w:rsidR="000A480B" w:rsidRPr="00483DC7" w:rsidRDefault="000A480B"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 Strategia națională de dezvoltare „Moldova Europeană 2030”;</w:t>
            </w:r>
          </w:p>
          <w:p w14:paraId="501AD19B" w14:textId="75EFD6A8" w:rsidR="000A480B" w:rsidRPr="00483DC7" w:rsidRDefault="000A480B"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 Strategia națională de dezvoltare agricolă și rurală pentru anii 2023-2030, aprobată prin HG nr.56/2023;</w:t>
            </w:r>
          </w:p>
          <w:p w14:paraId="09ECC4F2" w14:textId="77777777" w:rsidR="0092282D" w:rsidRPr="00483DC7" w:rsidRDefault="000A480B"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 Planul de acțiuni al Guvernului pentru anul 2024, aprobat prin HG nr.887/2023;</w:t>
            </w:r>
          </w:p>
          <w:p w14:paraId="43E7CDB9" w14:textId="77777777" w:rsidR="0092282D" w:rsidRPr="00483DC7" w:rsidRDefault="0092282D"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(5) Planul național de acțiuni pentru aderarea Republicii Moldova, aprobat prin HG nr. 829/2023;</w:t>
            </w:r>
          </w:p>
          <w:p w14:paraId="7BE71C9A" w14:textId="77777777" w:rsidR="00360AC8" w:rsidRPr="00483DC7" w:rsidRDefault="00360AC8"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 Acordul de Asociere între Republica Moldova, pe de o parte, și Uniunea Europeană a Energiei Atomice și statele membre ale acestora, pe de altă parte, semnat la 27.06.2014 la Bruxelles, Belgia și ratificat de Parlamentul Republicii Moldova pe 02.07.2014, Parlamentul European pe 13.11.2014 (capitolul 16 „Mediul înconjurător”);</w:t>
            </w:r>
          </w:p>
          <w:p w14:paraId="5F3F4791" w14:textId="77777777" w:rsidR="00360AC8" w:rsidRPr="00483DC7" w:rsidRDefault="00360AC8"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 Programul național de adaptare la schimbările climatice până în anul 2030 și Planul de acțiuni pentru implementarea acestuia (aprobat prin HG nr.624/2023);</w:t>
            </w:r>
          </w:p>
          <w:p w14:paraId="0BEF0EF0" w14:textId="7ABBA565" w:rsidR="00360AC8" w:rsidRPr="00483DC7" w:rsidRDefault="00360AC8" w:rsidP="0092282D">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(8) Programul de dezvoltare cu emisii reduse a Republicii Moldova până în anul 2030 și Planul de acțiuni pentru implementarea acestuia (aprobat prin H</w:t>
            </w:r>
            <w:r w:rsidR="000E70DC" w:rsidRPr="00483DC7">
              <w:rPr>
                <w:rFonts w:ascii="Times New Roman" w:hAnsi="Times New Roman" w:cs="Times New Roman"/>
                <w:sz w:val="20"/>
                <w:szCs w:val="20"/>
                <w:lang w:val="ro-MD"/>
              </w:rPr>
              <w:t>G</w:t>
            </w:r>
            <w:r w:rsidRPr="00483DC7">
              <w:rPr>
                <w:rFonts w:ascii="Times New Roman" w:hAnsi="Times New Roman" w:cs="Times New Roman"/>
                <w:sz w:val="20"/>
                <w:szCs w:val="20"/>
                <w:lang w:val="ro-MD"/>
              </w:rPr>
              <w:t xml:space="preserve"> nr. 659/2023);</w:t>
            </w:r>
          </w:p>
          <w:p w14:paraId="60E9A1F9" w14:textId="77777777" w:rsidR="000A480B" w:rsidRPr="00483DC7" w:rsidRDefault="00360AC8" w:rsidP="00360AC8">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(9) Programul național de extindere și reabilitare a pădurilor pentru perioada 2023-2032 și a Planului de </w:t>
            </w:r>
            <w:r w:rsidR="000E70DC" w:rsidRPr="00483DC7">
              <w:rPr>
                <w:rFonts w:ascii="Times New Roman" w:hAnsi="Times New Roman" w:cs="Times New Roman"/>
                <w:sz w:val="20"/>
                <w:szCs w:val="20"/>
                <w:lang w:val="ro-MD"/>
              </w:rPr>
              <w:t>acțiuni pentru implementarea acestuia pe perioada 2023-2027 (HG nr.55/2023);</w:t>
            </w:r>
          </w:p>
          <w:p w14:paraId="63F12474" w14:textId="77777777" w:rsidR="000E70DC" w:rsidRPr="00483DC7" w:rsidRDefault="000E70DC" w:rsidP="00360AC8">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(10) Programul de îmbunătățiri funciare în scopul asigurării managementului durabil al resurselor de sol pentru anii 2021-2025 (aprobat prin HG nr.864/2020);</w:t>
            </w:r>
          </w:p>
          <w:p w14:paraId="44AF4F45" w14:textId="16616164" w:rsidR="000E70DC" w:rsidRPr="00483DC7" w:rsidRDefault="000E70DC" w:rsidP="00360AC8">
            <w:pPr>
              <w:spacing w:after="0"/>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(11) Planul de gestionare a districtului bazinului hidrografic Nistru, aprobat prin HG nr.14/2017 și Programul de gestionare a districtului bazinului hidrografic Dunărea –Prut și Marea Neagră, ciclul II (2023-2028), aprobat prin HG nr. 444/2022. </w:t>
            </w:r>
          </w:p>
        </w:tc>
        <w:tc>
          <w:tcPr>
            <w:tcW w:w="2693" w:type="dxa"/>
          </w:tcPr>
          <w:p w14:paraId="1480D06D"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Cadrul global pentru biodiversitate – proiect de sprijin pentru acțiune timpurie</w:t>
            </w:r>
          </w:p>
        </w:tc>
        <w:tc>
          <w:tcPr>
            <w:tcW w:w="1418" w:type="dxa"/>
          </w:tcPr>
          <w:p w14:paraId="2CC8AE94"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2023-2024</w:t>
            </w:r>
          </w:p>
        </w:tc>
        <w:tc>
          <w:tcPr>
            <w:tcW w:w="1843" w:type="dxa"/>
          </w:tcPr>
          <w:p w14:paraId="29DE3A76"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GEF/UNEP</w:t>
            </w:r>
          </w:p>
        </w:tc>
      </w:tr>
      <w:tr w:rsidR="000A480B" w:rsidRPr="00483DC7" w14:paraId="0F0FE565" w14:textId="77777777" w:rsidTr="00E653AF">
        <w:trPr>
          <w:trHeight w:val="19"/>
        </w:trPr>
        <w:tc>
          <w:tcPr>
            <w:tcW w:w="479" w:type="dxa"/>
            <w:vMerge/>
          </w:tcPr>
          <w:p w14:paraId="2EE5FB2B" w14:textId="77777777" w:rsidR="000A480B" w:rsidRPr="00483DC7" w:rsidRDefault="000A480B" w:rsidP="00E653AF">
            <w:pPr>
              <w:spacing w:after="0"/>
              <w:rPr>
                <w:rFonts w:ascii="Times New Roman" w:hAnsi="Times New Roman" w:cs="Times New Roman"/>
                <w:sz w:val="20"/>
                <w:szCs w:val="20"/>
                <w:lang w:val="ro-MD"/>
              </w:rPr>
            </w:pPr>
          </w:p>
        </w:tc>
        <w:tc>
          <w:tcPr>
            <w:tcW w:w="1506" w:type="dxa"/>
            <w:vMerge/>
            <w:vAlign w:val="center"/>
          </w:tcPr>
          <w:p w14:paraId="47E15F1C" w14:textId="77777777" w:rsidR="000A480B" w:rsidRPr="00483DC7" w:rsidRDefault="000A480B" w:rsidP="00E653AF">
            <w:pPr>
              <w:spacing w:after="0"/>
              <w:jc w:val="center"/>
              <w:rPr>
                <w:rFonts w:ascii="Times New Roman" w:hAnsi="Times New Roman" w:cs="Times New Roman"/>
                <w:sz w:val="20"/>
                <w:szCs w:val="20"/>
                <w:lang w:val="ro-MD"/>
              </w:rPr>
            </w:pPr>
          </w:p>
        </w:tc>
        <w:tc>
          <w:tcPr>
            <w:tcW w:w="1134" w:type="dxa"/>
            <w:vMerge/>
            <w:vAlign w:val="center"/>
          </w:tcPr>
          <w:p w14:paraId="2C0AA1BF" w14:textId="77777777" w:rsidR="000A480B" w:rsidRPr="00483DC7" w:rsidRDefault="000A480B" w:rsidP="00E653AF">
            <w:pPr>
              <w:spacing w:after="0"/>
              <w:jc w:val="center"/>
              <w:rPr>
                <w:rFonts w:ascii="Times New Roman" w:hAnsi="Times New Roman" w:cs="Times New Roman"/>
                <w:sz w:val="20"/>
                <w:szCs w:val="20"/>
                <w:lang w:val="ro-MD"/>
              </w:rPr>
            </w:pPr>
          </w:p>
        </w:tc>
        <w:tc>
          <w:tcPr>
            <w:tcW w:w="5103" w:type="dxa"/>
            <w:vMerge/>
          </w:tcPr>
          <w:p w14:paraId="2EEBD76E" w14:textId="7970DD2E" w:rsidR="000A480B" w:rsidRPr="00483DC7" w:rsidRDefault="000A480B" w:rsidP="00E653AF">
            <w:pPr>
              <w:spacing w:after="0"/>
              <w:rPr>
                <w:rFonts w:ascii="Times New Roman" w:hAnsi="Times New Roman" w:cs="Times New Roman"/>
                <w:sz w:val="20"/>
                <w:szCs w:val="20"/>
                <w:lang w:val="ro-MD"/>
              </w:rPr>
            </w:pPr>
          </w:p>
        </w:tc>
        <w:tc>
          <w:tcPr>
            <w:tcW w:w="2693" w:type="dxa"/>
          </w:tcPr>
          <w:p w14:paraId="28B475E6"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Cadrul de implementare a biosecurității pentru managementul resurselor biologice în Moldova</w:t>
            </w:r>
          </w:p>
        </w:tc>
        <w:tc>
          <w:tcPr>
            <w:tcW w:w="1418" w:type="dxa"/>
          </w:tcPr>
          <w:p w14:paraId="2E1BB15A"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w:t>
            </w:r>
          </w:p>
        </w:tc>
        <w:tc>
          <w:tcPr>
            <w:tcW w:w="1843" w:type="dxa"/>
          </w:tcPr>
          <w:p w14:paraId="776F9765"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PPG UNEP/GEF</w:t>
            </w:r>
          </w:p>
        </w:tc>
      </w:tr>
      <w:tr w:rsidR="000A480B" w:rsidRPr="00483DC7" w14:paraId="4B96D59E" w14:textId="77777777" w:rsidTr="00E653AF">
        <w:trPr>
          <w:trHeight w:val="19"/>
        </w:trPr>
        <w:tc>
          <w:tcPr>
            <w:tcW w:w="479" w:type="dxa"/>
            <w:vMerge/>
          </w:tcPr>
          <w:p w14:paraId="6FE01626" w14:textId="77777777" w:rsidR="000A480B" w:rsidRPr="00483DC7" w:rsidRDefault="000A480B" w:rsidP="00E653AF">
            <w:pPr>
              <w:spacing w:after="0"/>
              <w:rPr>
                <w:rFonts w:ascii="Times New Roman" w:hAnsi="Times New Roman" w:cs="Times New Roman"/>
                <w:sz w:val="20"/>
                <w:szCs w:val="20"/>
                <w:lang w:val="ro-MD"/>
              </w:rPr>
            </w:pPr>
          </w:p>
        </w:tc>
        <w:tc>
          <w:tcPr>
            <w:tcW w:w="1506" w:type="dxa"/>
            <w:vMerge/>
            <w:vAlign w:val="center"/>
          </w:tcPr>
          <w:p w14:paraId="02BEB46F" w14:textId="77777777" w:rsidR="000A480B" w:rsidRPr="00483DC7" w:rsidRDefault="000A480B" w:rsidP="00E653AF">
            <w:pPr>
              <w:spacing w:after="0"/>
              <w:jc w:val="center"/>
              <w:rPr>
                <w:rFonts w:ascii="Times New Roman" w:hAnsi="Times New Roman" w:cs="Times New Roman"/>
                <w:sz w:val="20"/>
                <w:szCs w:val="20"/>
                <w:lang w:val="ro-MD"/>
              </w:rPr>
            </w:pPr>
          </w:p>
        </w:tc>
        <w:tc>
          <w:tcPr>
            <w:tcW w:w="1134" w:type="dxa"/>
            <w:vMerge/>
            <w:vAlign w:val="center"/>
          </w:tcPr>
          <w:p w14:paraId="691CA6EA" w14:textId="77777777" w:rsidR="000A480B" w:rsidRPr="00483DC7" w:rsidRDefault="000A480B" w:rsidP="00E653AF">
            <w:pPr>
              <w:spacing w:after="0"/>
              <w:jc w:val="center"/>
              <w:rPr>
                <w:rFonts w:ascii="Times New Roman" w:hAnsi="Times New Roman" w:cs="Times New Roman"/>
                <w:sz w:val="20"/>
                <w:szCs w:val="20"/>
                <w:lang w:val="ro-MD"/>
              </w:rPr>
            </w:pPr>
          </w:p>
        </w:tc>
        <w:tc>
          <w:tcPr>
            <w:tcW w:w="5103" w:type="dxa"/>
            <w:vMerge/>
          </w:tcPr>
          <w:p w14:paraId="0B3C5FBE" w14:textId="0C4E3D3B" w:rsidR="000A480B" w:rsidRPr="00483DC7" w:rsidRDefault="000A480B" w:rsidP="000A480B">
            <w:pPr>
              <w:spacing w:after="0"/>
              <w:rPr>
                <w:rFonts w:ascii="Times New Roman" w:hAnsi="Times New Roman" w:cs="Times New Roman"/>
                <w:sz w:val="20"/>
                <w:szCs w:val="20"/>
                <w:lang w:val="ro-MD"/>
              </w:rPr>
            </w:pPr>
          </w:p>
        </w:tc>
        <w:tc>
          <w:tcPr>
            <w:tcW w:w="2693" w:type="dxa"/>
          </w:tcPr>
          <w:p w14:paraId="2631A263"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Conservarea și managementul sustenabil al zonelor umede cu valoare de conservare înaltă din bazinul râului Prut. </w:t>
            </w:r>
          </w:p>
        </w:tc>
        <w:tc>
          <w:tcPr>
            <w:tcW w:w="1418" w:type="dxa"/>
          </w:tcPr>
          <w:p w14:paraId="592F89CD"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2023-2026</w:t>
            </w:r>
          </w:p>
        </w:tc>
        <w:tc>
          <w:tcPr>
            <w:tcW w:w="1843" w:type="dxa"/>
          </w:tcPr>
          <w:p w14:paraId="0FC67583" w14:textId="77777777" w:rsidR="000A480B" w:rsidRPr="00483DC7" w:rsidRDefault="000A480B"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PNUD/GEF-PIMS-6551</w:t>
            </w:r>
          </w:p>
        </w:tc>
      </w:tr>
      <w:tr w:rsidR="00E653AF" w:rsidRPr="00483DC7" w14:paraId="727E0A7D" w14:textId="77777777" w:rsidTr="00E653AF">
        <w:trPr>
          <w:trHeight w:val="502"/>
        </w:trPr>
        <w:tc>
          <w:tcPr>
            <w:tcW w:w="479" w:type="dxa"/>
            <w:vMerge w:val="restart"/>
          </w:tcPr>
          <w:p w14:paraId="748DDC9F"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5</w:t>
            </w:r>
          </w:p>
        </w:tc>
        <w:tc>
          <w:tcPr>
            <w:tcW w:w="1506" w:type="dxa"/>
            <w:vMerge w:val="restart"/>
            <w:vAlign w:val="center"/>
          </w:tcPr>
          <w:p w14:paraId="0155B1E2"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UCIMPA</w:t>
            </w:r>
          </w:p>
          <w:p w14:paraId="4F95D0CA"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4177BD3C"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MAIA</w:t>
            </w:r>
          </w:p>
        </w:tc>
        <w:tc>
          <w:tcPr>
            <w:tcW w:w="5103" w:type="dxa"/>
          </w:tcPr>
          <w:p w14:paraId="29A382A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Agricolă și Rurală 2023-2030, aprobată prin HG 56/2023</w:t>
            </w:r>
          </w:p>
          <w:p w14:paraId="00D85B66" w14:textId="329D291C"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Strategia </w:t>
            </w:r>
            <w:r w:rsidR="006728E5"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2014-2020, HG nr. 409/2014</w:t>
            </w:r>
          </w:p>
        </w:tc>
        <w:tc>
          <w:tcPr>
            <w:tcW w:w="2693" w:type="dxa"/>
          </w:tcPr>
          <w:p w14:paraId="07370EE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agricultură competitivă în Moldova (MACP) – 4 finanțări</w:t>
            </w:r>
          </w:p>
        </w:tc>
        <w:tc>
          <w:tcPr>
            <w:tcW w:w="1418" w:type="dxa"/>
          </w:tcPr>
          <w:p w14:paraId="66438C4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2015-2024</w:t>
            </w:r>
          </w:p>
        </w:tc>
        <w:tc>
          <w:tcPr>
            <w:tcW w:w="1843" w:type="dxa"/>
          </w:tcPr>
          <w:p w14:paraId="4868AB3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Asociația Internațională pentru Dezvoltare</w:t>
            </w:r>
          </w:p>
        </w:tc>
      </w:tr>
      <w:tr w:rsidR="00E653AF" w:rsidRPr="00483DC7" w14:paraId="0DF72947" w14:textId="77777777" w:rsidTr="00E653AF">
        <w:trPr>
          <w:trHeight w:val="19"/>
        </w:trPr>
        <w:tc>
          <w:tcPr>
            <w:tcW w:w="479" w:type="dxa"/>
            <w:vMerge/>
          </w:tcPr>
          <w:p w14:paraId="68655A9D"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135226F5"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51AD4A63"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000B9973"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Agricolă și Rurală 2023-2030, aprobată prin HG 56/2023</w:t>
            </w:r>
          </w:p>
          <w:p w14:paraId="580A9051" w14:textId="77777777" w:rsidR="00E653AF" w:rsidRPr="00483DC7" w:rsidRDefault="00E653AF" w:rsidP="00E653AF">
            <w:pPr>
              <w:spacing w:after="0"/>
              <w:rPr>
                <w:rFonts w:ascii="Times New Roman" w:hAnsi="Times New Roman" w:cs="Times New Roman"/>
                <w:sz w:val="20"/>
                <w:szCs w:val="20"/>
                <w:lang w:val="ro-MD"/>
              </w:rPr>
            </w:pPr>
          </w:p>
        </w:tc>
        <w:tc>
          <w:tcPr>
            <w:tcW w:w="2693" w:type="dxa"/>
          </w:tcPr>
          <w:p w14:paraId="284F4E7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Investiții pentru Guvernanță, Creștere și Reziliență în Agricultură</w:t>
            </w:r>
          </w:p>
        </w:tc>
        <w:tc>
          <w:tcPr>
            <w:tcW w:w="1418" w:type="dxa"/>
          </w:tcPr>
          <w:p w14:paraId="058206F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2023-2029</w:t>
            </w:r>
          </w:p>
        </w:tc>
        <w:tc>
          <w:tcPr>
            <w:tcW w:w="1843" w:type="dxa"/>
          </w:tcPr>
          <w:p w14:paraId="685131FA"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Internațională pentru reconstrucție și Dezvoltare (Banca Mondială)</w:t>
            </w:r>
          </w:p>
        </w:tc>
      </w:tr>
      <w:tr w:rsidR="00E653AF" w:rsidRPr="00483DC7" w14:paraId="164B369B" w14:textId="77777777" w:rsidTr="00E653AF">
        <w:trPr>
          <w:trHeight w:val="19"/>
        </w:trPr>
        <w:tc>
          <w:tcPr>
            <w:tcW w:w="479" w:type="dxa"/>
            <w:vMerge w:val="restart"/>
          </w:tcPr>
          <w:p w14:paraId="5DF73A0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6</w:t>
            </w:r>
          </w:p>
        </w:tc>
        <w:tc>
          <w:tcPr>
            <w:tcW w:w="1506" w:type="dxa"/>
            <w:vMerge w:val="restart"/>
            <w:vAlign w:val="center"/>
          </w:tcPr>
          <w:p w14:paraId="7079B89E"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UCIMPDS</w:t>
            </w:r>
          </w:p>
          <w:p w14:paraId="08AC6755"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5904EAF0"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MS</w:t>
            </w:r>
          </w:p>
        </w:tc>
        <w:tc>
          <w:tcPr>
            <w:tcW w:w="5103" w:type="dxa"/>
          </w:tcPr>
          <w:p w14:paraId="2CB5E8D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HG 387/2023 Strategia națională de sănătate „Sănătatea 2030”</w:t>
            </w:r>
          </w:p>
          <w:p w14:paraId="59B1FF9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HG 1471/2007 Strategia de dezvoltare a sistemului de sănătate în perioada 2008-2017</w:t>
            </w:r>
          </w:p>
          <w:p w14:paraId="1CA6C68E" w14:textId="556B862E"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Programe </w:t>
            </w:r>
            <w:r w:rsidR="006728E5" w:rsidRPr="00483DC7">
              <w:rPr>
                <w:rFonts w:ascii="Times New Roman" w:hAnsi="Times New Roman" w:cs="Times New Roman"/>
                <w:sz w:val="20"/>
                <w:szCs w:val="20"/>
                <w:lang w:val="ro-MD"/>
              </w:rPr>
              <w:t>național</w:t>
            </w:r>
            <w:r w:rsidRPr="00483DC7">
              <w:rPr>
                <w:rFonts w:ascii="Times New Roman" w:hAnsi="Times New Roman" w:cs="Times New Roman"/>
                <w:sz w:val="20"/>
                <w:szCs w:val="20"/>
                <w:lang w:val="ro-MD"/>
              </w:rPr>
              <w:t xml:space="preserve"> de profilaxie şi combatere a </w:t>
            </w:r>
            <w:r w:rsidR="006728E5" w:rsidRPr="00483DC7">
              <w:rPr>
                <w:rFonts w:ascii="Times New Roman" w:hAnsi="Times New Roman" w:cs="Times New Roman"/>
                <w:sz w:val="20"/>
                <w:szCs w:val="20"/>
                <w:lang w:val="ro-MD"/>
              </w:rPr>
              <w:t>infecției</w:t>
            </w:r>
            <w:r w:rsidRPr="00483DC7">
              <w:rPr>
                <w:rFonts w:ascii="Times New Roman" w:hAnsi="Times New Roman" w:cs="Times New Roman"/>
                <w:sz w:val="20"/>
                <w:szCs w:val="20"/>
                <w:lang w:val="ro-MD"/>
              </w:rPr>
              <w:t xml:space="preserve"> HIV/SIDA şi </w:t>
            </w:r>
            <w:r w:rsidR="006728E5" w:rsidRPr="00483DC7">
              <w:rPr>
                <w:rFonts w:ascii="Times New Roman" w:hAnsi="Times New Roman" w:cs="Times New Roman"/>
                <w:sz w:val="20"/>
                <w:szCs w:val="20"/>
                <w:lang w:val="ro-MD"/>
              </w:rPr>
              <w:t>infecțiilor</w:t>
            </w:r>
            <w:r w:rsidRPr="00483DC7">
              <w:rPr>
                <w:rFonts w:ascii="Times New Roman" w:hAnsi="Times New Roman" w:cs="Times New Roman"/>
                <w:sz w:val="20"/>
                <w:szCs w:val="20"/>
                <w:lang w:val="ro-MD"/>
              </w:rPr>
              <w:t xml:space="preserve"> cu transmitere sexuală (2001-2025)</w:t>
            </w:r>
          </w:p>
          <w:p w14:paraId="451BFDBE" w14:textId="255D0D94"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Programe </w:t>
            </w:r>
            <w:r w:rsidR="006728E5" w:rsidRPr="00483DC7">
              <w:rPr>
                <w:rFonts w:ascii="Times New Roman" w:hAnsi="Times New Roman" w:cs="Times New Roman"/>
                <w:sz w:val="20"/>
                <w:szCs w:val="20"/>
                <w:lang w:val="ro-MD"/>
              </w:rPr>
              <w:t>naționale</w:t>
            </w:r>
            <w:r w:rsidRPr="00483DC7">
              <w:rPr>
                <w:rFonts w:ascii="Times New Roman" w:hAnsi="Times New Roman" w:cs="Times New Roman"/>
                <w:sz w:val="20"/>
                <w:szCs w:val="20"/>
                <w:lang w:val="ro-MD"/>
              </w:rPr>
              <w:t xml:space="preserve"> de control al tuberculozei (2001-2025)</w:t>
            </w:r>
          </w:p>
        </w:tc>
        <w:tc>
          <w:tcPr>
            <w:tcW w:w="2693" w:type="dxa"/>
          </w:tcPr>
          <w:p w14:paraId="5DE238CA" w14:textId="0C63758C" w:rsidR="00E653AF" w:rsidRPr="00483DC7" w:rsidRDefault="00E653AF" w:rsidP="00E577F7">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“Consolidarea controlului tuberculozei și reducerea SIDA și a mortalității aferente în RM (</w:t>
            </w:r>
            <w:r w:rsidR="00E577F7" w:rsidRPr="00483DC7">
              <w:rPr>
                <w:rFonts w:ascii="Times New Roman" w:hAnsi="Times New Roman" w:cs="Times New Roman"/>
                <w:sz w:val="20"/>
                <w:szCs w:val="20"/>
                <w:lang w:val="ro-MD"/>
              </w:rPr>
              <w:t>Grant</w:t>
            </w:r>
            <w:r w:rsidRPr="00483DC7">
              <w:rPr>
                <w:rFonts w:ascii="Times New Roman" w:hAnsi="Times New Roman" w:cs="Times New Roman"/>
                <w:sz w:val="20"/>
                <w:szCs w:val="20"/>
                <w:lang w:val="ro-MD"/>
              </w:rPr>
              <w:t>)</w:t>
            </w:r>
          </w:p>
        </w:tc>
        <w:tc>
          <w:tcPr>
            <w:tcW w:w="1418" w:type="dxa"/>
          </w:tcPr>
          <w:p w14:paraId="4AA9844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2021-2023</w:t>
            </w:r>
          </w:p>
        </w:tc>
        <w:tc>
          <w:tcPr>
            <w:tcW w:w="1843" w:type="dxa"/>
          </w:tcPr>
          <w:p w14:paraId="6443C0E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Global pentru Combaterea SIDA, TB și Malariei</w:t>
            </w:r>
          </w:p>
        </w:tc>
      </w:tr>
      <w:tr w:rsidR="00E653AF" w:rsidRPr="00483DC7" w14:paraId="00997ECC" w14:textId="77777777" w:rsidTr="00E653AF">
        <w:trPr>
          <w:trHeight w:val="19"/>
        </w:trPr>
        <w:tc>
          <w:tcPr>
            <w:tcW w:w="479" w:type="dxa"/>
            <w:vMerge/>
          </w:tcPr>
          <w:p w14:paraId="5E7A9AFE"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2098F571"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270CAA7F"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2BF597B0" w14:textId="597A7A8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Programe </w:t>
            </w:r>
            <w:r w:rsidR="006728E5" w:rsidRPr="00483DC7">
              <w:rPr>
                <w:rFonts w:ascii="Times New Roman" w:hAnsi="Times New Roman" w:cs="Times New Roman"/>
                <w:sz w:val="20"/>
                <w:szCs w:val="20"/>
                <w:lang w:val="ro-MD"/>
              </w:rPr>
              <w:t>național</w:t>
            </w:r>
            <w:r w:rsidR="00205477">
              <w:rPr>
                <w:rFonts w:ascii="Times New Roman" w:hAnsi="Times New Roman" w:cs="Times New Roman"/>
                <w:sz w:val="20"/>
                <w:szCs w:val="20"/>
                <w:lang w:val="ro-MD"/>
              </w:rPr>
              <w:t>e</w:t>
            </w:r>
            <w:r w:rsidRPr="00483DC7">
              <w:rPr>
                <w:rFonts w:ascii="Times New Roman" w:hAnsi="Times New Roman" w:cs="Times New Roman"/>
                <w:sz w:val="20"/>
                <w:szCs w:val="20"/>
                <w:lang w:val="ro-MD"/>
              </w:rPr>
              <w:t xml:space="preserve"> de profilaxie şi combatere a </w:t>
            </w:r>
            <w:r w:rsidR="006728E5" w:rsidRPr="00483DC7">
              <w:rPr>
                <w:rFonts w:ascii="Times New Roman" w:hAnsi="Times New Roman" w:cs="Times New Roman"/>
                <w:sz w:val="20"/>
                <w:szCs w:val="20"/>
                <w:lang w:val="ro-MD"/>
              </w:rPr>
              <w:t>infecției</w:t>
            </w:r>
            <w:r w:rsidRPr="00483DC7">
              <w:rPr>
                <w:rFonts w:ascii="Times New Roman" w:hAnsi="Times New Roman" w:cs="Times New Roman"/>
                <w:sz w:val="20"/>
                <w:szCs w:val="20"/>
                <w:lang w:val="ro-MD"/>
              </w:rPr>
              <w:t xml:space="preserve"> HIV/SIDA şi </w:t>
            </w:r>
            <w:r w:rsidR="006728E5" w:rsidRPr="00483DC7">
              <w:rPr>
                <w:rFonts w:ascii="Times New Roman" w:hAnsi="Times New Roman" w:cs="Times New Roman"/>
                <w:sz w:val="20"/>
                <w:szCs w:val="20"/>
                <w:lang w:val="ro-MD"/>
              </w:rPr>
              <w:t>infecțiilor</w:t>
            </w:r>
            <w:r w:rsidRPr="00483DC7">
              <w:rPr>
                <w:rFonts w:ascii="Times New Roman" w:hAnsi="Times New Roman" w:cs="Times New Roman"/>
                <w:sz w:val="20"/>
                <w:szCs w:val="20"/>
                <w:lang w:val="ro-MD"/>
              </w:rPr>
              <w:t xml:space="preserve"> cu transmitere sexuală (2001-2025)</w:t>
            </w:r>
          </w:p>
          <w:p w14:paraId="07C914B5" w14:textId="1FD07CF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Programe </w:t>
            </w:r>
            <w:r w:rsidR="006728E5" w:rsidRPr="00483DC7">
              <w:rPr>
                <w:rFonts w:ascii="Times New Roman" w:hAnsi="Times New Roman" w:cs="Times New Roman"/>
                <w:sz w:val="20"/>
                <w:szCs w:val="20"/>
                <w:lang w:val="ro-MD"/>
              </w:rPr>
              <w:t>naționale</w:t>
            </w:r>
            <w:r w:rsidRPr="00483DC7">
              <w:rPr>
                <w:rFonts w:ascii="Times New Roman" w:hAnsi="Times New Roman" w:cs="Times New Roman"/>
                <w:sz w:val="20"/>
                <w:szCs w:val="20"/>
                <w:lang w:val="ro-MD"/>
              </w:rPr>
              <w:t xml:space="preserve"> de control al tuberculozei (2001-2025)</w:t>
            </w:r>
          </w:p>
        </w:tc>
        <w:tc>
          <w:tcPr>
            <w:tcW w:w="2693" w:type="dxa"/>
          </w:tcPr>
          <w:p w14:paraId="482C081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de susținere a Consiliului național de coordonare TB/Sida  (Grant)</w:t>
            </w:r>
          </w:p>
        </w:tc>
        <w:tc>
          <w:tcPr>
            <w:tcW w:w="1418" w:type="dxa"/>
          </w:tcPr>
          <w:p w14:paraId="5C3F5E3A"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2022-2024</w:t>
            </w:r>
          </w:p>
        </w:tc>
        <w:tc>
          <w:tcPr>
            <w:tcW w:w="1843" w:type="dxa"/>
          </w:tcPr>
          <w:p w14:paraId="060ECB4A"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Fondul Global pentru Combaterea SIDA, TB și Malariei</w:t>
            </w:r>
          </w:p>
        </w:tc>
      </w:tr>
      <w:tr w:rsidR="00E653AF" w:rsidRPr="00483DC7" w14:paraId="45CEFA00" w14:textId="77777777" w:rsidTr="00E653AF">
        <w:trPr>
          <w:cantSplit/>
          <w:trHeight w:val="62"/>
        </w:trPr>
        <w:tc>
          <w:tcPr>
            <w:tcW w:w="479" w:type="dxa"/>
          </w:tcPr>
          <w:p w14:paraId="1BA2125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7</w:t>
            </w:r>
          </w:p>
        </w:tc>
        <w:tc>
          <w:tcPr>
            <w:tcW w:w="1506" w:type="dxa"/>
            <w:vAlign w:val="center"/>
          </w:tcPr>
          <w:p w14:paraId="33A5FF87"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UCIMPRSVV</w:t>
            </w:r>
          </w:p>
          <w:p w14:paraId="0248A950"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Align w:val="center"/>
          </w:tcPr>
          <w:p w14:paraId="389413EE"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MAIA</w:t>
            </w:r>
          </w:p>
        </w:tc>
        <w:tc>
          <w:tcPr>
            <w:tcW w:w="5103" w:type="dxa"/>
          </w:tcPr>
          <w:p w14:paraId="23CD539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Agricolă și Rurală 2023-2030, aprobată prin HG 56/2023</w:t>
            </w:r>
          </w:p>
          <w:p w14:paraId="170C8A8B" w14:textId="6B6E3B1A"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Strategia </w:t>
            </w:r>
            <w:r w:rsidR="006728E5" w:rsidRPr="00483DC7">
              <w:rPr>
                <w:rFonts w:ascii="Times New Roman" w:hAnsi="Times New Roman" w:cs="Times New Roman"/>
                <w:sz w:val="20"/>
                <w:szCs w:val="20"/>
                <w:lang w:val="ro-MD"/>
              </w:rPr>
              <w:t>națională</w:t>
            </w:r>
            <w:r w:rsidRPr="00483DC7">
              <w:rPr>
                <w:rFonts w:ascii="Times New Roman" w:hAnsi="Times New Roman" w:cs="Times New Roman"/>
                <w:sz w:val="20"/>
                <w:szCs w:val="20"/>
                <w:lang w:val="ro-MD"/>
              </w:rPr>
              <w:t xml:space="preserve"> de dezvoltare agricolă şi rurală pentru anii 2014-2020, HG nr. 409/2014</w:t>
            </w:r>
          </w:p>
        </w:tc>
        <w:tc>
          <w:tcPr>
            <w:tcW w:w="2693" w:type="dxa"/>
          </w:tcPr>
          <w:p w14:paraId="572BC34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Livada Moldova</w:t>
            </w:r>
          </w:p>
        </w:tc>
        <w:tc>
          <w:tcPr>
            <w:tcW w:w="1418" w:type="dxa"/>
          </w:tcPr>
          <w:p w14:paraId="44F01B6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2016-2025</w:t>
            </w:r>
          </w:p>
        </w:tc>
        <w:tc>
          <w:tcPr>
            <w:tcW w:w="1843" w:type="dxa"/>
          </w:tcPr>
          <w:p w14:paraId="4A58A56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Europeană de Investiții</w:t>
            </w:r>
          </w:p>
        </w:tc>
      </w:tr>
      <w:tr w:rsidR="00E653AF" w:rsidRPr="00483DC7" w14:paraId="5D970AF9" w14:textId="77777777" w:rsidTr="0016200D">
        <w:trPr>
          <w:trHeight w:val="470"/>
        </w:trPr>
        <w:tc>
          <w:tcPr>
            <w:tcW w:w="479" w:type="dxa"/>
            <w:vMerge w:val="restart"/>
          </w:tcPr>
          <w:p w14:paraId="30599CB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8</w:t>
            </w:r>
          </w:p>
        </w:tc>
        <w:tc>
          <w:tcPr>
            <w:tcW w:w="1506" w:type="dxa"/>
            <w:vMerge w:val="restart"/>
            <w:vAlign w:val="center"/>
          </w:tcPr>
          <w:p w14:paraId="64F3A5C4" w14:textId="375269C5" w:rsidR="00E653AF" w:rsidRPr="00483DC7" w:rsidRDefault="00E653AF" w:rsidP="0016200D">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UCIPE</w:t>
            </w:r>
          </w:p>
        </w:tc>
        <w:tc>
          <w:tcPr>
            <w:tcW w:w="1134" w:type="dxa"/>
            <w:vMerge w:val="restart"/>
            <w:vAlign w:val="center"/>
          </w:tcPr>
          <w:p w14:paraId="722B45EA"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ME</w:t>
            </w:r>
          </w:p>
        </w:tc>
        <w:tc>
          <w:tcPr>
            <w:tcW w:w="5103" w:type="dxa"/>
          </w:tcPr>
          <w:p w14:paraId="0126099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energetică a RM până în anul 2030, aprobată prin HG 102/2013</w:t>
            </w:r>
          </w:p>
        </w:tc>
        <w:tc>
          <w:tcPr>
            <w:tcW w:w="2693" w:type="dxa"/>
          </w:tcPr>
          <w:p w14:paraId="2B498DFD" w14:textId="3D0B1CD9" w:rsidR="00E653AF" w:rsidRPr="00483DC7" w:rsidRDefault="00E653AF" w:rsidP="006C4376">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Proiectul </w:t>
            </w:r>
            <w:r w:rsidR="006C4376" w:rsidRPr="00483DC7">
              <w:rPr>
                <w:rFonts w:ascii="Times New Roman" w:hAnsi="Times New Roman" w:cs="Times New Roman"/>
                <w:sz w:val="20"/>
                <w:szCs w:val="20"/>
                <w:lang w:val="ro-MD"/>
              </w:rPr>
              <w:t>„Dezvoltarea</w:t>
            </w:r>
            <w:r w:rsidRPr="00483DC7">
              <w:rPr>
                <w:rFonts w:ascii="Times New Roman" w:hAnsi="Times New Roman" w:cs="Times New Roman"/>
                <w:sz w:val="20"/>
                <w:szCs w:val="20"/>
                <w:lang w:val="ro-MD"/>
              </w:rPr>
              <w:t xml:space="preserve"> sistemului electroenergetic</w:t>
            </w:r>
            <w:r w:rsidR="006C4376" w:rsidRPr="00483DC7">
              <w:rPr>
                <w:rFonts w:ascii="Times New Roman" w:hAnsi="Times New Roman" w:cs="Times New Roman"/>
                <w:sz w:val="20"/>
                <w:szCs w:val="20"/>
                <w:lang w:val="ro-MD"/>
              </w:rPr>
              <w:t>” (PDSE)</w:t>
            </w:r>
          </w:p>
        </w:tc>
        <w:tc>
          <w:tcPr>
            <w:tcW w:w="1418" w:type="dxa"/>
          </w:tcPr>
          <w:p w14:paraId="3FD8F0FD" w14:textId="1DBB4AA2" w:rsidR="00E653AF" w:rsidRPr="00483DC7" w:rsidRDefault="00E653AF" w:rsidP="006C4376">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2020-202</w:t>
            </w:r>
            <w:r w:rsidR="00C411AA">
              <w:rPr>
                <w:rFonts w:ascii="Times New Roman" w:hAnsi="Times New Roman" w:cs="Times New Roman"/>
                <w:sz w:val="20"/>
                <w:szCs w:val="20"/>
                <w:lang w:val="ro-MD"/>
              </w:rPr>
              <w:t>5</w:t>
            </w:r>
          </w:p>
        </w:tc>
        <w:tc>
          <w:tcPr>
            <w:tcW w:w="1843" w:type="dxa"/>
          </w:tcPr>
          <w:p w14:paraId="00A1E33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AID</w:t>
            </w:r>
          </w:p>
        </w:tc>
      </w:tr>
      <w:tr w:rsidR="00E653AF" w:rsidRPr="00483DC7" w14:paraId="27F00521" w14:textId="77777777" w:rsidTr="00E653AF">
        <w:trPr>
          <w:trHeight w:val="549"/>
        </w:trPr>
        <w:tc>
          <w:tcPr>
            <w:tcW w:w="479" w:type="dxa"/>
            <w:vMerge/>
          </w:tcPr>
          <w:p w14:paraId="068CE9AC"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66ED2A0C"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337301E6"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5E1CB1D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energetică a RM până în anul 2030, aprobată prin HG 102/2013</w:t>
            </w:r>
          </w:p>
        </w:tc>
        <w:tc>
          <w:tcPr>
            <w:tcW w:w="2693" w:type="dxa"/>
          </w:tcPr>
          <w:p w14:paraId="0DDF646B" w14:textId="2A39D21B"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Proiectul </w:t>
            </w:r>
            <w:r w:rsidR="006C4376" w:rsidRPr="00483DC7">
              <w:rPr>
                <w:rFonts w:ascii="Times New Roman" w:hAnsi="Times New Roman" w:cs="Times New Roman"/>
                <w:sz w:val="20"/>
                <w:szCs w:val="20"/>
                <w:lang w:val="ro-MD"/>
              </w:rPr>
              <w:t>„Eficiență energetică în Republica Moldova” (MEEP)</w:t>
            </w:r>
          </w:p>
        </w:tc>
        <w:tc>
          <w:tcPr>
            <w:tcW w:w="1418" w:type="dxa"/>
          </w:tcPr>
          <w:p w14:paraId="4E1C1225" w14:textId="365CAD42" w:rsidR="00E653AF" w:rsidRPr="00483DC7" w:rsidRDefault="00E653AF" w:rsidP="006C4376">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w:t>
            </w:r>
            <w:r w:rsidR="006C4376" w:rsidRPr="00483DC7">
              <w:rPr>
                <w:rFonts w:ascii="Times New Roman" w:hAnsi="Times New Roman" w:cs="Times New Roman"/>
                <w:sz w:val="20"/>
                <w:szCs w:val="20"/>
                <w:lang w:val="ro-MD"/>
              </w:rPr>
              <w:t>7</w:t>
            </w:r>
          </w:p>
        </w:tc>
        <w:tc>
          <w:tcPr>
            <w:tcW w:w="1843" w:type="dxa"/>
          </w:tcPr>
          <w:p w14:paraId="25F0F4E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BEI, BERD, NIP, EPTATF</w:t>
            </w:r>
          </w:p>
        </w:tc>
      </w:tr>
      <w:tr w:rsidR="00E653AF" w:rsidRPr="00483DC7" w14:paraId="0A52D2A4" w14:textId="77777777" w:rsidTr="00E653AF">
        <w:trPr>
          <w:trHeight w:val="19"/>
        </w:trPr>
        <w:tc>
          <w:tcPr>
            <w:tcW w:w="479" w:type="dxa"/>
            <w:vMerge/>
          </w:tcPr>
          <w:p w14:paraId="3E019A35"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5E85A736"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486CB927"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0E07F4A6"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energetică a RM până în anul 2030, aprobată prin HG 102/2013</w:t>
            </w:r>
          </w:p>
        </w:tc>
        <w:tc>
          <w:tcPr>
            <w:tcW w:w="2693" w:type="dxa"/>
          </w:tcPr>
          <w:p w14:paraId="624131D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Al doilea Proiect de îmbunătățire a eficienței sistemului de Alimentare centralizată cu energie termică din Chișinău (PIESACET-2)</w:t>
            </w:r>
          </w:p>
        </w:tc>
        <w:tc>
          <w:tcPr>
            <w:tcW w:w="1418" w:type="dxa"/>
          </w:tcPr>
          <w:p w14:paraId="7A22AF8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2020-2025</w:t>
            </w:r>
          </w:p>
        </w:tc>
        <w:tc>
          <w:tcPr>
            <w:tcW w:w="1843" w:type="dxa"/>
          </w:tcPr>
          <w:p w14:paraId="1FB5538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Internațională pentru Reconstrucție și Dezvoltare</w:t>
            </w:r>
          </w:p>
        </w:tc>
      </w:tr>
      <w:tr w:rsidR="00E653AF" w:rsidRPr="00483DC7" w14:paraId="5AF4E90A" w14:textId="77777777" w:rsidTr="00E653AF">
        <w:trPr>
          <w:cantSplit/>
          <w:trHeight w:val="62"/>
        </w:trPr>
        <w:tc>
          <w:tcPr>
            <w:tcW w:w="479" w:type="dxa"/>
          </w:tcPr>
          <w:p w14:paraId="26679A9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9</w:t>
            </w:r>
          </w:p>
        </w:tc>
        <w:tc>
          <w:tcPr>
            <w:tcW w:w="1506" w:type="dxa"/>
            <w:vAlign w:val="center"/>
          </w:tcPr>
          <w:p w14:paraId="6FA1A755"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UCIP IFAD</w:t>
            </w:r>
          </w:p>
          <w:p w14:paraId="279D4EFB"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Align w:val="center"/>
          </w:tcPr>
          <w:p w14:paraId="58EBCAA0"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MAIA</w:t>
            </w:r>
          </w:p>
        </w:tc>
        <w:tc>
          <w:tcPr>
            <w:tcW w:w="5103" w:type="dxa"/>
          </w:tcPr>
          <w:p w14:paraId="68C934F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Agricolă și Rurală 2023-2030, aprobată prin HG 56/2023</w:t>
            </w:r>
          </w:p>
          <w:p w14:paraId="0A02B816"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de îmbunătățiri funciare în scopul asigurării managementului durabil al resurselor de sol pentru anii 2021-2025 și a Planului de acțiuni pentru anii 2021-2023 privind implementarea acestuia, aprobat prin HG 864/2020</w:t>
            </w:r>
          </w:p>
        </w:tc>
        <w:tc>
          <w:tcPr>
            <w:tcW w:w="2693" w:type="dxa"/>
          </w:tcPr>
          <w:p w14:paraId="255CE63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Îmbunătățirea capacităților pentru transformarea zonei rurale (IFAD VIII)</w:t>
            </w:r>
          </w:p>
        </w:tc>
        <w:tc>
          <w:tcPr>
            <w:tcW w:w="1418" w:type="dxa"/>
          </w:tcPr>
          <w:p w14:paraId="77F92EC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2021-2027</w:t>
            </w:r>
          </w:p>
        </w:tc>
        <w:tc>
          <w:tcPr>
            <w:tcW w:w="1843" w:type="dxa"/>
          </w:tcPr>
          <w:p w14:paraId="2D84CE8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IFAD și Fondul de adaptare</w:t>
            </w:r>
          </w:p>
        </w:tc>
      </w:tr>
      <w:tr w:rsidR="00E653AF" w:rsidRPr="00483DC7" w14:paraId="68CF5F61" w14:textId="77777777" w:rsidTr="00E653AF">
        <w:trPr>
          <w:trHeight w:val="19"/>
        </w:trPr>
        <w:tc>
          <w:tcPr>
            <w:tcW w:w="479" w:type="dxa"/>
            <w:vMerge w:val="restart"/>
          </w:tcPr>
          <w:p w14:paraId="009CFB1B"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10</w:t>
            </w:r>
          </w:p>
        </w:tc>
        <w:tc>
          <w:tcPr>
            <w:tcW w:w="1506" w:type="dxa"/>
            <w:vMerge w:val="restart"/>
            <w:vAlign w:val="center"/>
          </w:tcPr>
          <w:p w14:paraId="2159DF73"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UIPAC</w:t>
            </w:r>
          </w:p>
          <w:p w14:paraId="0FDE11CD"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555DAE57" w14:textId="269C01D3" w:rsidR="00E653AF" w:rsidRPr="00483DC7" w:rsidRDefault="00A409B6" w:rsidP="00E653AF">
            <w:pPr>
              <w:spacing w:after="0"/>
              <w:jc w:val="center"/>
              <w:rPr>
                <w:rFonts w:ascii="Times New Roman" w:hAnsi="Times New Roman" w:cs="Times New Roman"/>
                <w:sz w:val="20"/>
                <w:szCs w:val="20"/>
                <w:lang w:val="ro-MD"/>
              </w:rPr>
            </w:pPr>
            <w:r>
              <w:rPr>
                <w:rFonts w:ascii="Times New Roman" w:hAnsi="Times New Roman" w:cs="Times New Roman"/>
                <w:sz w:val="20"/>
                <w:szCs w:val="20"/>
                <w:lang w:val="ro-MD"/>
              </w:rPr>
              <w:t>MDED</w:t>
            </w:r>
          </w:p>
        </w:tc>
        <w:tc>
          <w:tcPr>
            <w:tcW w:w="5103" w:type="dxa"/>
          </w:tcPr>
          <w:p w14:paraId="4E11226A" w14:textId="4FD5CD48"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economică 2030, aprobat prin HG nr. 393/2024. Programul național pentru promovarea antreprenoriatului și creșterea competitivității în anii 2023-2027, aprobat prin HG nr. 653/2023;</w:t>
            </w:r>
          </w:p>
        </w:tc>
        <w:tc>
          <w:tcPr>
            <w:tcW w:w="2693" w:type="dxa"/>
          </w:tcPr>
          <w:p w14:paraId="0262124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de ameliorare a competitivității II (PAC 2)</w:t>
            </w:r>
          </w:p>
        </w:tc>
        <w:tc>
          <w:tcPr>
            <w:tcW w:w="1418" w:type="dxa"/>
          </w:tcPr>
          <w:p w14:paraId="0764ECF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2014-2021</w:t>
            </w:r>
          </w:p>
        </w:tc>
        <w:tc>
          <w:tcPr>
            <w:tcW w:w="1843" w:type="dxa"/>
          </w:tcPr>
          <w:p w14:paraId="45E477A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Mondială</w:t>
            </w:r>
          </w:p>
        </w:tc>
      </w:tr>
      <w:tr w:rsidR="00E653AF" w:rsidRPr="00483DC7" w14:paraId="35528ED7" w14:textId="77777777" w:rsidTr="00E653AF">
        <w:trPr>
          <w:trHeight w:val="470"/>
        </w:trPr>
        <w:tc>
          <w:tcPr>
            <w:tcW w:w="479" w:type="dxa"/>
            <w:vMerge/>
          </w:tcPr>
          <w:p w14:paraId="768B0AB7"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4F26FFB2"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262C3B30"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09E76D0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de transformare digitală pentru anii 2023-2030, aprobat prin Hotărârea Guvernului nr.  650/2023</w:t>
            </w:r>
          </w:p>
          <w:p w14:paraId="0E4DFE5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economică 2030, aprobat prin HG nr. 393/2024</w:t>
            </w:r>
          </w:p>
          <w:p w14:paraId="6123C2F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Națională de dezvoltare regională a Republicii Moldova pentru anii 2022–2028, aprobată prin HG 40/2022</w:t>
            </w:r>
          </w:p>
          <w:p w14:paraId="33FBA31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Programul național pentru promovarea antreprenoriatului și creșterea competitivității în anii 2023-2027, aprobat prin HG nr. 653/2023;</w:t>
            </w:r>
          </w:p>
        </w:tc>
        <w:tc>
          <w:tcPr>
            <w:tcW w:w="2693" w:type="dxa"/>
          </w:tcPr>
          <w:p w14:paraId="57ACCB5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de competitivitate a întreprinderilor micro, mici și mijlocii (Proiectul ÎMMM)</w:t>
            </w:r>
          </w:p>
        </w:tc>
        <w:tc>
          <w:tcPr>
            <w:tcW w:w="1418" w:type="dxa"/>
          </w:tcPr>
          <w:p w14:paraId="1B020A4C"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2022-2027</w:t>
            </w:r>
          </w:p>
        </w:tc>
        <w:tc>
          <w:tcPr>
            <w:tcW w:w="1843" w:type="dxa"/>
          </w:tcPr>
          <w:p w14:paraId="3851CDD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Mondială</w:t>
            </w:r>
          </w:p>
        </w:tc>
      </w:tr>
      <w:tr w:rsidR="00E653AF" w:rsidRPr="00483DC7" w14:paraId="77CAA1E5" w14:textId="77777777" w:rsidTr="00E653AF">
        <w:trPr>
          <w:trHeight w:val="19"/>
        </w:trPr>
        <w:tc>
          <w:tcPr>
            <w:tcW w:w="479" w:type="dxa"/>
            <w:vMerge w:val="restart"/>
          </w:tcPr>
          <w:p w14:paraId="3B3EB0D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11</w:t>
            </w:r>
          </w:p>
        </w:tc>
        <w:tc>
          <w:tcPr>
            <w:tcW w:w="1506" w:type="dxa"/>
            <w:vMerge w:val="restart"/>
            <w:vAlign w:val="center"/>
          </w:tcPr>
          <w:p w14:paraId="6F13D132"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UIPCLPSV II</w:t>
            </w:r>
          </w:p>
          <w:p w14:paraId="664D4CDE"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restart"/>
            <w:vAlign w:val="center"/>
          </w:tcPr>
          <w:p w14:paraId="3E8ADB75"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MIDR</w:t>
            </w:r>
          </w:p>
        </w:tc>
        <w:tc>
          <w:tcPr>
            <w:tcW w:w="5103" w:type="dxa"/>
          </w:tcPr>
          <w:p w14:paraId="7011E62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 HG nr. 158 din 04.03.2010 cu privire la aprobarea Strategiei naționale de dezvoltare regională 2010-2012;</w:t>
            </w:r>
          </w:p>
          <w:p w14:paraId="79B841E8"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 HG nr. 685 din 04.09.2013 cu privire la aprobarea Strategiei naționale de dezvoltare regională pentru anii 2013-2015</w:t>
            </w:r>
          </w:p>
          <w:p w14:paraId="2CC56156"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3. Legea nr. 239 din 13.10.2016 pentru aprobarea Strategiei naționale de dezvoltare regională pentru anii 2016–2020</w:t>
            </w:r>
          </w:p>
          <w:p w14:paraId="2B33E40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4. HG nr. 40 din 26.01.2022 cu privire la aprobarea Strategiei Naționale de Dezvoltare Regională a Republicii Moldova pentru anii 2022–2028</w:t>
            </w:r>
          </w:p>
        </w:tc>
        <w:tc>
          <w:tcPr>
            <w:tcW w:w="2693" w:type="dxa"/>
          </w:tcPr>
          <w:p w14:paraId="00C0AF54"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lastRenderedPageBreak/>
              <w:t>Proiectul de construcție a locuințelor pentru păturile socialmente vulnerabile II</w:t>
            </w:r>
          </w:p>
        </w:tc>
        <w:tc>
          <w:tcPr>
            <w:tcW w:w="1418" w:type="dxa"/>
          </w:tcPr>
          <w:p w14:paraId="7B12CC81"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2013-2024</w:t>
            </w:r>
          </w:p>
        </w:tc>
        <w:tc>
          <w:tcPr>
            <w:tcW w:w="1843" w:type="dxa"/>
          </w:tcPr>
          <w:p w14:paraId="1B3C6A67"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de dezvoltare a Consiliului Europei</w:t>
            </w:r>
          </w:p>
        </w:tc>
      </w:tr>
      <w:tr w:rsidR="00E653AF" w:rsidRPr="00483DC7" w14:paraId="75E048FD" w14:textId="77777777" w:rsidTr="00E653AF">
        <w:trPr>
          <w:trHeight w:val="19"/>
        </w:trPr>
        <w:tc>
          <w:tcPr>
            <w:tcW w:w="479" w:type="dxa"/>
            <w:vMerge/>
          </w:tcPr>
          <w:p w14:paraId="33B1BC0A" w14:textId="77777777" w:rsidR="00E653AF" w:rsidRPr="00483DC7" w:rsidRDefault="00E653AF" w:rsidP="00E653AF">
            <w:pPr>
              <w:spacing w:after="0"/>
              <w:rPr>
                <w:rFonts w:ascii="Times New Roman" w:hAnsi="Times New Roman" w:cs="Times New Roman"/>
                <w:sz w:val="20"/>
                <w:szCs w:val="20"/>
                <w:lang w:val="ro-MD"/>
              </w:rPr>
            </w:pPr>
          </w:p>
        </w:tc>
        <w:tc>
          <w:tcPr>
            <w:tcW w:w="1506" w:type="dxa"/>
            <w:vMerge/>
            <w:vAlign w:val="center"/>
          </w:tcPr>
          <w:p w14:paraId="44878A33" w14:textId="77777777" w:rsidR="00E653AF" w:rsidRPr="00483DC7" w:rsidRDefault="00E653AF" w:rsidP="00E653AF">
            <w:pPr>
              <w:spacing w:after="0"/>
              <w:jc w:val="center"/>
              <w:rPr>
                <w:rFonts w:ascii="Times New Roman" w:hAnsi="Times New Roman" w:cs="Times New Roman"/>
                <w:sz w:val="20"/>
                <w:szCs w:val="20"/>
                <w:lang w:val="ro-MD"/>
              </w:rPr>
            </w:pPr>
          </w:p>
        </w:tc>
        <w:tc>
          <w:tcPr>
            <w:tcW w:w="1134" w:type="dxa"/>
            <w:vMerge/>
            <w:vAlign w:val="center"/>
          </w:tcPr>
          <w:p w14:paraId="1ECD93B5" w14:textId="77777777" w:rsidR="00E653AF" w:rsidRPr="00483DC7" w:rsidRDefault="00E653AF" w:rsidP="00E653AF">
            <w:pPr>
              <w:spacing w:after="0"/>
              <w:jc w:val="center"/>
              <w:rPr>
                <w:rFonts w:ascii="Times New Roman" w:hAnsi="Times New Roman" w:cs="Times New Roman"/>
                <w:sz w:val="20"/>
                <w:szCs w:val="20"/>
                <w:lang w:val="ro-MD"/>
              </w:rPr>
            </w:pPr>
          </w:p>
        </w:tc>
        <w:tc>
          <w:tcPr>
            <w:tcW w:w="5103" w:type="dxa"/>
          </w:tcPr>
          <w:p w14:paraId="4FA83DAD"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Planul Național de Dezvoltare - HG nr. 89/2023 pct. 2.4.7 și Planul de Acțiuni al Guvernului 2023 – HG 90/203</w:t>
            </w:r>
          </w:p>
        </w:tc>
        <w:tc>
          <w:tcPr>
            <w:tcW w:w="2693" w:type="dxa"/>
          </w:tcPr>
          <w:p w14:paraId="0452F529"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Asistența tehnică pentru efectuarea Studiului de Fezabilitate și activități preparatorii a unui nou proiect de construcție a locuințelor publice</w:t>
            </w:r>
          </w:p>
        </w:tc>
        <w:tc>
          <w:tcPr>
            <w:tcW w:w="1418" w:type="dxa"/>
          </w:tcPr>
          <w:p w14:paraId="7D93DB2A"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2022-2022</w:t>
            </w:r>
          </w:p>
        </w:tc>
        <w:tc>
          <w:tcPr>
            <w:tcW w:w="1843" w:type="dxa"/>
          </w:tcPr>
          <w:p w14:paraId="2C4BE015"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de dezvoltare a Consiliului Europei</w:t>
            </w:r>
          </w:p>
        </w:tc>
      </w:tr>
      <w:tr w:rsidR="00E653AF" w:rsidRPr="00483DC7" w14:paraId="02B843DB" w14:textId="77777777" w:rsidTr="00E653AF">
        <w:trPr>
          <w:cantSplit/>
          <w:trHeight w:val="19"/>
        </w:trPr>
        <w:tc>
          <w:tcPr>
            <w:tcW w:w="479" w:type="dxa"/>
          </w:tcPr>
          <w:p w14:paraId="385CF71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12</w:t>
            </w:r>
          </w:p>
        </w:tc>
        <w:tc>
          <w:tcPr>
            <w:tcW w:w="1506" w:type="dxa"/>
            <w:vAlign w:val="center"/>
          </w:tcPr>
          <w:p w14:paraId="617F030B"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UIPCP Chișinău</w:t>
            </w:r>
          </w:p>
        </w:tc>
        <w:tc>
          <w:tcPr>
            <w:tcW w:w="1134" w:type="dxa"/>
            <w:vAlign w:val="center"/>
          </w:tcPr>
          <w:p w14:paraId="60A49BDB" w14:textId="77777777" w:rsidR="00E653AF" w:rsidRPr="00483DC7" w:rsidRDefault="00E653AF" w:rsidP="00E653AF">
            <w:pPr>
              <w:spacing w:after="0"/>
              <w:jc w:val="center"/>
              <w:rPr>
                <w:rFonts w:ascii="Times New Roman" w:hAnsi="Times New Roman" w:cs="Times New Roman"/>
                <w:sz w:val="20"/>
                <w:szCs w:val="20"/>
                <w:lang w:val="ro-MD"/>
              </w:rPr>
            </w:pPr>
            <w:r w:rsidRPr="00483DC7">
              <w:rPr>
                <w:rFonts w:ascii="Times New Roman" w:hAnsi="Times New Roman" w:cs="Times New Roman"/>
                <w:sz w:val="20"/>
                <w:szCs w:val="20"/>
                <w:lang w:val="ro-MD"/>
              </w:rPr>
              <w:t>MJ</w:t>
            </w:r>
          </w:p>
        </w:tc>
        <w:tc>
          <w:tcPr>
            <w:tcW w:w="5103" w:type="dxa"/>
          </w:tcPr>
          <w:p w14:paraId="25FBF8C0"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Strategia de dezvoltare a sistemului administrației penitenciare pentru anii 2016-2020, aprobată prin HG nr. 1462/2016</w:t>
            </w:r>
          </w:p>
        </w:tc>
        <w:tc>
          <w:tcPr>
            <w:tcW w:w="2693" w:type="dxa"/>
          </w:tcPr>
          <w:p w14:paraId="4E82AF92"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Proiectul Construcția noului penitenciar în mun. Chișinău</w:t>
            </w:r>
          </w:p>
        </w:tc>
        <w:tc>
          <w:tcPr>
            <w:tcW w:w="1418" w:type="dxa"/>
          </w:tcPr>
          <w:p w14:paraId="06965B5E"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2014-2028</w:t>
            </w:r>
          </w:p>
        </w:tc>
        <w:tc>
          <w:tcPr>
            <w:tcW w:w="1843" w:type="dxa"/>
          </w:tcPr>
          <w:p w14:paraId="513BEB21" w14:textId="77777777" w:rsidR="00E653AF" w:rsidRPr="00483DC7" w:rsidRDefault="00E653AF" w:rsidP="00E653AF">
            <w:pPr>
              <w:spacing w:after="0"/>
              <w:rPr>
                <w:rFonts w:ascii="Times New Roman" w:hAnsi="Times New Roman" w:cs="Times New Roman"/>
                <w:sz w:val="20"/>
                <w:szCs w:val="20"/>
                <w:lang w:val="ro-MD"/>
              </w:rPr>
            </w:pPr>
            <w:r w:rsidRPr="00483DC7">
              <w:rPr>
                <w:rFonts w:ascii="Times New Roman" w:hAnsi="Times New Roman" w:cs="Times New Roman"/>
                <w:sz w:val="20"/>
                <w:szCs w:val="20"/>
                <w:lang w:val="ro-MD"/>
              </w:rPr>
              <w:t>Banca de dezvoltare a Consiliului Europei</w:t>
            </w:r>
          </w:p>
        </w:tc>
      </w:tr>
    </w:tbl>
    <w:p w14:paraId="2729826E" w14:textId="33160481" w:rsidR="00E653AF" w:rsidRPr="00483DC7" w:rsidRDefault="00E653AF" w:rsidP="008C7D35">
      <w:pPr>
        <w:spacing w:after="0" w:line="276" w:lineRule="auto"/>
        <w:jc w:val="both"/>
        <w:rPr>
          <w:rFonts w:ascii="Times New Roman" w:hAnsi="Times New Roman" w:cs="Times New Roman"/>
          <w:b/>
          <w:sz w:val="24"/>
          <w:szCs w:val="24"/>
          <w:lang w:val="ro-MD" w:eastAsia="ru-RU"/>
        </w:rPr>
      </w:pPr>
    </w:p>
    <w:p w14:paraId="6EB7A087" w14:textId="525AFBDE" w:rsidR="00E653AF" w:rsidRPr="00483DC7" w:rsidRDefault="00E653AF" w:rsidP="008C7D35">
      <w:pPr>
        <w:spacing w:after="0" w:line="276" w:lineRule="auto"/>
        <w:jc w:val="both"/>
        <w:rPr>
          <w:rFonts w:ascii="Times New Roman" w:hAnsi="Times New Roman" w:cs="Times New Roman"/>
          <w:b/>
          <w:sz w:val="24"/>
          <w:szCs w:val="24"/>
          <w:lang w:val="ro-MD" w:eastAsia="ru-RU"/>
        </w:rPr>
      </w:pPr>
    </w:p>
    <w:p w14:paraId="077D6505" w14:textId="0C382A9F" w:rsidR="00E653AF" w:rsidRPr="00483DC7" w:rsidRDefault="00E653AF" w:rsidP="008C7D35">
      <w:pPr>
        <w:spacing w:after="0" w:line="276" w:lineRule="auto"/>
        <w:jc w:val="both"/>
        <w:rPr>
          <w:rFonts w:ascii="Times New Roman" w:hAnsi="Times New Roman" w:cs="Times New Roman"/>
          <w:b/>
          <w:sz w:val="24"/>
          <w:szCs w:val="24"/>
          <w:lang w:val="ro-MD" w:eastAsia="ru-RU"/>
        </w:rPr>
      </w:pPr>
    </w:p>
    <w:p w14:paraId="44DBA378" w14:textId="77777777" w:rsidR="00AA1692" w:rsidRPr="00483DC7" w:rsidRDefault="00AA1692" w:rsidP="00E653AF">
      <w:pPr>
        <w:pStyle w:val="Heading2"/>
        <w:spacing w:before="0" w:after="240"/>
        <w:rPr>
          <w:rFonts w:ascii="Times New Roman" w:hAnsi="Times New Roman" w:cs="Times New Roman"/>
          <w:b/>
          <w:color w:val="auto"/>
          <w:sz w:val="24"/>
          <w:szCs w:val="24"/>
          <w:lang w:val="ro-MD"/>
        </w:rPr>
      </w:pPr>
      <w:r w:rsidRPr="00483DC7">
        <w:rPr>
          <w:rFonts w:ascii="Times New Roman" w:hAnsi="Times New Roman" w:cs="Times New Roman"/>
          <w:b/>
          <w:color w:val="auto"/>
          <w:sz w:val="24"/>
          <w:szCs w:val="24"/>
          <w:lang w:val="ro-MD"/>
        </w:rPr>
        <w:br w:type="page"/>
      </w:r>
    </w:p>
    <w:p w14:paraId="61C7C44A" w14:textId="7E8B210E" w:rsidR="00E653AF" w:rsidRPr="00483DC7" w:rsidRDefault="00E653AF" w:rsidP="00E653AF">
      <w:pPr>
        <w:pStyle w:val="Heading2"/>
        <w:spacing w:before="0" w:after="240"/>
        <w:rPr>
          <w:rFonts w:ascii="Times New Roman" w:hAnsi="Times New Roman" w:cs="Times New Roman"/>
          <w:color w:val="auto"/>
          <w:sz w:val="24"/>
          <w:szCs w:val="24"/>
          <w:lang w:val="ro-MD"/>
        </w:rPr>
      </w:pPr>
      <w:bookmarkStart w:id="36" w:name="_Toc185943231"/>
      <w:r w:rsidRPr="00483DC7">
        <w:rPr>
          <w:rFonts w:ascii="Times New Roman" w:hAnsi="Times New Roman" w:cs="Times New Roman"/>
          <w:b/>
          <w:color w:val="auto"/>
          <w:sz w:val="24"/>
          <w:szCs w:val="24"/>
          <w:lang w:val="ro-MD"/>
        </w:rPr>
        <w:t>Anexa nr. 7:</w:t>
      </w:r>
      <w:r w:rsidRPr="00483DC7">
        <w:rPr>
          <w:rFonts w:ascii="Times New Roman" w:hAnsi="Times New Roman" w:cs="Times New Roman"/>
          <w:color w:val="auto"/>
          <w:sz w:val="24"/>
          <w:szCs w:val="24"/>
          <w:lang w:val="ro-MD"/>
        </w:rPr>
        <w:t xml:space="preserve"> Rezultatele proiectelor implementate de către UIPFAE în perioada 2022-2023</w:t>
      </w:r>
      <w:bookmarkEnd w:id="36"/>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83"/>
        <w:gridCol w:w="1936"/>
        <w:gridCol w:w="1476"/>
        <w:gridCol w:w="1703"/>
        <w:gridCol w:w="6525"/>
      </w:tblGrid>
      <w:tr w:rsidR="00E653AF" w:rsidRPr="00483DC7" w14:paraId="49B3B61A" w14:textId="77777777" w:rsidTr="003B63AA">
        <w:trPr>
          <w:trHeight w:val="824"/>
        </w:trPr>
        <w:tc>
          <w:tcPr>
            <w:tcW w:w="1294" w:type="dxa"/>
            <w:shd w:val="clear" w:color="000000" w:fill="FCE4D6"/>
            <w:noWrap/>
            <w:vAlign w:val="center"/>
            <w:hideMark/>
          </w:tcPr>
          <w:p w14:paraId="37A077B2" w14:textId="77777777" w:rsidR="00E653AF" w:rsidRPr="00483DC7" w:rsidRDefault="00E653AF"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Domeniul de acțiune</w:t>
            </w:r>
          </w:p>
        </w:tc>
        <w:tc>
          <w:tcPr>
            <w:tcW w:w="1383" w:type="dxa"/>
            <w:shd w:val="clear" w:color="000000" w:fill="FCE4D6"/>
            <w:vAlign w:val="center"/>
            <w:hideMark/>
          </w:tcPr>
          <w:p w14:paraId="221CAE8C" w14:textId="01EF06AB" w:rsidR="00E653AF" w:rsidRPr="00483DC7" w:rsidRDefault="00AA1692"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Denumirea UIPFAE</w:t>
            </w:r>
            <w:r w:rsidR="00E653AF" w:rsidRPr="00483DC7">
              <w:rPr>
                <w:rFonts w:ascii="Times New Roman" w:eastAsia="Times New Roman" w:hAnsi="Times New Roman" w:cs="Times New Roman"/>
                <w:b/>
                <w:bCs/>
                <w:i/>
                <w:iCs/>
                <w:color w:val="000000"/>
                <w:sz w:val="20"/>
                <w:szCs w:val="20"/>
                <w:lang w:val="ro-MD"/>
              </w:rPr>
              <w:t> </w:t>
            </w:r>
          </w:p>
        </w:tc>
        <w:tc>
          <w:tcPr>
            <w:tcW w:w="1936" w:type="dxa"/>
            <w:shd w:val="clear" w:color="000000" w:fill="FCE4D6"/>
            <w:vAlign w:val="center"/>
            <w:hideMark/>
          </w:tcPr>
          <w:p w14:paraId="41610441" w14:textId="77777777" w:rsidR="00E653AF" w:rsidRPr="00483DC7" w:rsidRDefault="00E653AF"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Denumirea proiectului</w:t>
            </w:r>
          </w:p>
        </w:tc>
        <w:tc>
          <w:tcPr>
            <w:tcW w:w="1476" w:type="dxa"/>
            <w:shd w:val="clear" w:color="000000" w:fill="FCE4D6"/>
            <w:vAlign w:val="center"/>
            <w:hideMark/>
          </w:tcPr>
          <w:p w14:paraId="41ED11D2" w14:textId="5E81D59D" w:rsidR="00E653AF" w:rsidRPr="00483DC7" w:rsidRDefault="00E653AF"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Resurse financiare</w:t>
            </w:r>
            <w:r w:rsidR="00A620C1">
              <w:rPr>
                <w:rFonts w:ascii="Times New Roman" w:eastAsia="Times New Roman" w:hAnsi="Times New Roman" w:cs="Times New Roman"/>
                <w:b/>
                <w:bCs/>
                <w:i/>
                <w:iCs/>
                <w:color w:val="000000"/>
                <w:sz w:val="20"/>
                <w:szCs w:val="20"/>
                <w:lang w:val="ro-MD"/>
              </w:rPr>
              <w:t xml:space="preserve"> alocate în</w:t>
            </w:r>
            <w:r w:rsidRPr="00483DC7">
              <w:rPr>
                <w:rFonts w:ascii="Times New Roman" w:eastAsia="Times New Roman" w:hAnsi="Times New Roman" w:cs="Times New Roman"/>
                <w:b/>
                <w:bCs/>
                <w:i/>
                <w:iCs/>
                <w:color w:val="000000"/>
                <w:sz w:val="20"/>
                <w:szCs w:val="20"/>
                <w:lang w:val="ro-MD"/>
              </w:rPr>
              <w:t xml:space="preserve"> 2022-2023</w:t>
            </w:r>
            <w:r w:rsidR="00AA1692" w:rsidRPr="00483DC7">
              <w:rPr>
                <w:rFonts w:ascii="Times New Roman" w:eastAsia="Times New Roman" w:hAnsi="Times New Roman" w:cs="Times New Roman"/>
                <w:b/>
                <w:bCs/>
                <w:i/>
                <w:iCs/>
                <w:color w:val="000000"/>
                <w:sz w:val="20"/>
                <w:szCs w:val="20"/>
                <w:lang w:val="ro-MD"/>
              </w:rPr>
              <w:t xml:space="preserve">  (mii lei)</w:t>
            </w:r>
          </w:p>
        </w:tc>
        <w:tc>
          <w:tcPr>
            <w:tcW w:w="1703" w:type="dxa"/>
            <w:shd w:val="clear" w:color="000000" w:fill="FCE4D6"/>
            <w:vAlign w:val="center"/>
            <w:hideMark/>
          </w:tcPr>
          <w:p w14:paraId="3ED187D2" w14:textId="107869D0" w:rsidR="00E653AF" w:rsidRPr="00483DC7" w:rsidRDefault="00E653AF"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Resurse financiare cheltuite pentru implementarea proiectului de la inițierea acestuia</w:t>
            </w:r>
            <w:r w:rsidR="0016200D">
              <w:rPr>
                <w:rFonts w:ascii="Times New Roman" w:eastAsia="Times New Roman" w:hAnsi="Times New Roman" w:cs="Times New Roman"/>
                <w:b/>
                <w:bCs/>
                <w:i/>
                <w:iCs/>
                <w:color w:val="000000"/>
                <w:sz w:val="20"/>
                <w:szCs w:val="20"/>
                <w:lang w:val="ro-MD"/>
              </w:rPr>
              <w:t xml:space="preserve"> (mii lei)</w:t>
            </w:r>
          </w:p>
        </w:tc>
        <w:tc>
          <w:tcPr>
            <w:tcW w:w="6525" w:type="dxa"/>
            <w:shd w:val="clear" w:color="000000" w:fill="FCE4D6"/>
            <w:vAlign w:val="center"/>
            <w:hideMark/>
          </w:tcPr>
          <w:p w14:paraId="075457A9" w14:textId="77777777" w:rsidR="00E653AF" w:rsidRPr="00483DC7" w:rsidRDefault="00E653AF" w:rsidP="00E653AF">
            <w:pPr>
              <w:spacing w:after="0" w:line="240" w:lineRule="auto"/>
              <w:jc w:val="center"/>
              <w:rPr>
                <w:rFonts w:ascii="Times New Roman" w:eastAsia="Times New Roman" w:hAnsi="Times New Roman" w:cs="Times New Roman"/>
                <w:b/>
                <w:bCs/>
                <w:i/>
                <w:iCs/>
                <w:color w:val="000000"/>
                <w:sz w:val="20"/>
                <w:szCs w:val="20"/>
                <w:lang w:val="ro-MD"/>
              </w:rPr>
            </w:pPr>
            <w:r w:rsidRPr="00483DC7">
              <w:rPr>
                <w:rFonts w:ascii="Times New Roman" w:eastAsia="Times New Roman" w:hAnsi="Times New Roman" w:cs="Times New Roman"/>
                <w:b/>
                <w:bCs/>
                <w:i/>
                <w:iCs/>
                <w:color w:val="000000"/>
                <w:sz w:val="20"/>
                <w:szCs w:val="20"/>
                <w:lang w:val="ro-MD"/>
              </w:rPr>
              <w:t>Rezultate obținute până la 31.12.2023</w:t>
            </w:r>
          </w:p>
        </w:tc>
      </w:tr>
      <w:tr w:rsidR="00E653AF" w:rsidRPr="00483DC7" w14:paraId="13EF10D5" w14:textId="77777777" w:rsidTr="003B63AA">
        <w:trPr>
          <w:trHeight w:val="531"/>
        </w:trPr>
        <w:tc>
          <w:tcPr>
            <w:tcW w:w="1294" w:type="dxa"/>
            <w:shd w:val="clear" w:color="auto" w:fill="auto"/>
            <w:noWrap/>
            <w:vAlign w:val="center"/>
            <w:hideMark/>
          </w:tcPr>
          <w:p w14:paraId="0E5DD6C5"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Justiție</w:t>
            </w:r>
          </w:p>
        </w:tc>
        <w:tc>
          <w:tcPr>
            <w:tcW w:w="1383" w:type="dxa"/>
            <w:shd w:val="clear" w:color="auto" w:fill="auto"/>
            <w:vAlign w:val="center"/>
            <w:hideMark/>
          </w:tcPr>
          <w:p w14:paraId="4104F671"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UIPCP Chișinău</w:t>
            </w:r>
          </w:p>
        </w:tc>
        <w:tc>
          <w:tcPr>
            <w:tcW w:w="1936" w:type="dxa"/>
            <w:shd w:val="clear" w:color="auto" w:fill="auto"/>
            <w:vAlign w:val="center"/>
            <w:hideMark/>
          </w:tcPr>
          <w:p w14:paraId="766F33B3" w14:textId="37377023"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 </w:t>
            </w:r>
            <w:r w:rsidR="00E653AF" w:rsidRPr="00483DC7">
              <w:rPr>
                <w:rFonts w:ascii="Times New Roman" w:eastAsia="Times New Roman" w:hAnsi="Times New Roman" w:cs="Times New Roman"/>
                <w:i/>
                <w:iCs/>
                <w:color w:val="000000"/>
                <w:sz w:val="20"/>
                <w:szCs w:val="20"/>
                <w:lang w:val="ro-MD"/>
              </w:rPr>
              <w:t>Proiectul de Construcție a Penitenciarului din Chișinău</w:t>
            </w:r>
          </w:p>
        </w:tc>
        <w:tc>
          <w:tcPr>
            <w:tcW w:w="1476" w:type="dxa"/>
            <w:shd w:val="clear" w:color="auto" w:fill="auto"/>
            <w:vAlign w:val="center"/>
            <w:hideMark/>
          </w:tcPr>
          <w:p w14:paraId="231F5463" w14:textId="22920C6F"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591,00</w:t>
            </w:r>
          </w:p>
        </w:tc>
        <w:tc>
          <w:tcPr>
            <w:tcW w:w="1703" w:type="dxa"/>
            <w:shd w:val="clear" w:color="auto" w:fill="auto"/>
            <w:noWrap/>
            <w:vAlign w:val="center"/>
            <w:hideMark/>
          </w:tcPr>
          <w:p w14:paraId="03F5254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24.834,00</w:t>
            </w:r>
          </w:p>
        </w:tc>
        <w:tc>
          <w:tcPr>
            <w:tcW w:w="6525" w:type="dxa"/>
            <w:shd w:val="clear" w:color="auto" w:fill="auto"/>
            <w:vAlign w:val="center"/>
            <w:hideMark/>
          </w:tcPr>
          <w:p w14:paraId="6EA39098" w14:textId="78162555"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Demararea proiectului a fost tergiversată. Au fost efectuate ajustări ale costurilor, ale elementelor structurale ale obiectului proiectului. S-au elaborat planuri de arhitectură, structură, instalații și amenajări interioare.</w:t>
            </w:r>
          </w:p>
        </w:tc>
      </w:tr>
      <w:tr w:rsidR="00E653AF" w:rsidRPr="00483DC7" w14:paraId="7478BC2F" w14:textId="77777777" w:rsidTr="003B63AA">
        <w:trPr>
          <w:trHeight w:val="70"/>
        </w:trPr>
        <w:tc>
          <w:tcPr>
            <w:tcW w:w="1294" w:type="dxa"/>
            <w:shd w:val="clear" w:color="000000" w:fill="2F75B5"/>
            <w:noWrap/>
            <w:vAlign w:val="center"/>
            <w:hideMark/>
          </w:tcPr>
          <w:p w14:paraId="5565675C"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2E3B262A"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2E33E8C2"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1875299B"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61C9CB97"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vAlign w:val="bottom"/>
            <w:hideMark/>
          </w:tcPr>
          <w:p w14:paraId="1594471C"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36C7EB2F" w14:textId="77777777" w:rsidTr="003B63AA">
        <w:trPr>
          <w:trHeight w:val="558"/>
        </w:trPr>
        <w:tc>
          <w:tcPr>
            <w:tcW w:w="1294" w:type="dxa"/>
            <w:shd w:val="clear" w:color="auto" w:fill="auto"/>
            <w:noWrap/>
            <w:vAlign w:val="center"/>
            <w:hideMark/>
          </w:tcPr>
          <w:p w14:paraId="56D84E0F"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Protecția mediului</w:t>
            </w:r>
          </w:p>
        </w:tc>
        <w:tc>
          <w:tcPr>
            <w:tcW w:w="1383" w:type="dxa"/>
            <w:shd w:val="clear" w:color="auto" w:fill="auto"/>
            <w:vAlign w:val="center"/>
            <w:hideMark/>
          </w:tcPr>
          <w:p w14:paraId="4337805F"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ONIPM</w:t>
            </w:r>
          </w:p>
        </w:tc>
        <w:tc>
          <w:tcPr>
            <w:tcW w:w="1936" w:type="dxa"/>
            <w:shd w:val="clear" w:color="auto" w:fill="auto"/>
            <w:vAlign w:val="center"/>
            <w:hideMark/>
          </w:tcPr>
          <w:p w14:paraId="43449E12" w14:textId="690D6011"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 </w:t>
            </w:r>
            <w:r w:rsidR="00E653AF" w:rsidRPr="00483DC7">
              <w:rPr>
                <w:rFonts w:ascii="Times New Roman" w:eastAsia="Times New Roman" w:hAnsi="Times New Roman" w:cs="Times New Roman"/>
                <w:i/>
                <w:iCs/>
                <w:color w:val="000000"/>
                <w:sz w:val="20"/>
                <w:szCs w:val="20"/>
                <w:lang w:val="ro-MD"/>
              </w:rPr>
              <w:t>PNUD-GEF: Conservarea și managementul durabil al zonelor umede cu accent pe zonele cu valoare naturală înaltă din bazinul râului Prut</w:t>
            </w:r>
          </w:p>
        </w:tc>
        <w:tc>
          <w:tcPr>
            <w:tcW w:w="1476" w:type="dxa"/>
            <w:shd w:val="clear" w:color="auto" w:fill="auto"/>
            <w:vAlign w:val="center"/>
            <w:hideMark/>
          </w:tcPr>
          <w:p w14:paraId="3A70DF0C"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391,00</w:t>
            </w:r>
          </w:p>
        </w:tc>
        <w:tc>
          <w:tcPr>
            <w:tcW w:w="1703" w:type="dxa"/>
            <w:shd w:val="clear" w:color="auto" w:fill="auto"/>
            <w:noWrap/>
            <w:vAlign w:val="center"/>
            <w:hideMark/>
          </w:tcPr>
          <w:p w14:paraId="1729A647"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391,00</w:t>
            </w:r>
          </w:p>
        </w:tc>
        <w:tc>
          <w:tcPr>
            <w:tcW w:w="6525" w:type="dxa"/>
            <w:shd w:val="clear" w:color="auto" w:fill="auto"/>
            <w:hideMark/>
          </w:tcPr>
          <w:p w14:paraId="33DCC03E" w14:textId="35FCB211"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Strategii de dezvoltare locală compatibile cu biodiversitatea în trei raioane țintă (Glodeni, Fălești, Cahul). Pașapoarte pentru 14 specii critice și integrate în planurile de dezvoltare locală, Proiecte de împădurire pentru 6 primării: Colibași, </w:t>
            </w:r>
            <w:r w:rsidR="00483DC7" w:rsidRPr="00483DC7">
              <w:rPr>
                <w:rFonts w:ascii="Times New Roman" w:eastAsia="Times New Roman" w:hAnsi="Times New Roman" w:cs="Times New Roman"/>
                <w:color w:val="000000"/>
                <w:sz w:val="20"/>
                <w:szCs w:val="20"/>
                <w:lang w:val="ro-MD"/>
              </w:rPr>
              <w:t>Brânza</w:t>
            </w:r>
            <w:r w:rsidRPr="00483DC7">
              <w:rPr>
                <w:rFonts w:ascii="Times New Roman" w:eastAsia="Times New Roman" w:hAnsi="Times New Roman" w:cs="Times New Roman"/>
                <w:color w:val="000000"/>
                <w:sz w:val="20"/>
                <w:szCs w:val="20"/>
                <w:lang w:val="ro-MD"/>
              </w:rPr>
              <w:t>, Slobozia, Manta, Vadul lui Isac, Văleni.</w:t>
            </w:r>
          </w:p>
        </w:tc>
      </w:tr>
      <w:tr w:rsidR="00E653AF" w:rsidRPr="00483DC7" w14:paraId="49E11409" w14:textId="77777777" w:rsidTr="003B63AA">
        <w:trPr>
          <w:trHeight w:val="558"/>
        </w:trPr>
        <w:tc>
          <w:tcPr>
            <w:tcW w:w="1294" w:type="dxa"/>
            <w:shd w:val="clear" w:color="auto" w:fill="auto"/>
            <w:noWrap/>
            <w:vAlign w:val="center"/>
            <w:hideMark/>
          </w:tcPr>
          <w:p w14:paraId="2E9629B1"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51CA26F1"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5344DBDE" w14:textId="59256E76"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 </w:t>
            </w:r>
            <w:r w:rsidR="00E653AF" w:rsidRPr="00483DC7">
              <w:rPr>
                <w:rFonts w:ascii="Times New Roman" w:eastAsia="Times New Roman" w:hAnsi="Times New Roman" w:cs="Times New Roman"/>
                <w:i/>
                <w:iCs/>
                <w:color w:val="000000"/>
                <w:sz w:val="20"/>
                <w:szCs w:val="20"/>
                <w:lang w:val="ro-MD"/>
              </w:rPr>
              <w:t>UNEP/GEF: Cadrul de implementare a biosecurității pentru managementul resurselor biologice în Moldova.</w:t>
            </w:r>
          </w:p>
        </w:tc>
        <w:tc>
          <w:tcPr>
            <w:tcW w:w="1476" w:type="dxa"/>
            <w:shd w:val="clear" w:color="auto" w:fill="auto"/>
            <w:vAlign w:val="center"/>
            <w:hideMark/>
          </w:tcPr>
          <w:p w14:paraId="13B3B835"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800,00</w:t>
            </w:r>
          </w:p>
        </w:tc>
        <w:tc>
          <w:tcPr>
            <w:tcW w:w="1703" w:type="dxa"/>
            <w:shd w:val="clear" w:color="auto" w:fill="auto"/>
            <w:noWrap/>
            <w:vAlign w:val="center"/>
            <w:hideMark/>
          </w:tcPr>
          <w:p w14:paraId="70AE739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800,00</w:t>
            </w:r>
          </w:p>
        </w:tc>
        <w:tc>
          <w:tcPr>
            <w:tcW w:w="6525" w:type="dxa"/>
            <w:shd w:val="clear" w:color="auto" w:fill="auto"/>
            <w:vAlign w:val="bottom"/>
            <w:hideMark/>
          </w:tcPr>
          <w:p w14:paraId="39DB65AF" w14:textId="1424E458" w:rsidR="00E653AF" w:rsidRPr="00483DC7" w:rsidRDefault="00A123D9"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Elaborarea, expedierea și aprobarea de către GEF a propunerii de proiect de mărimi medii MSP, conform ghidurilor GEF și structurii MSP, în baza generalizărilor și evaluărilor efectuate de către experții locali, sub coordonarea expertului internațional. Semnarea acordului de finanțare a proiectului de mărimi medii (MSP) „Cadrul de implementare a biosecurității pentru managementul resurselor biologice în Moldova”, de către Ministerul Mediului la data de 29.02.2024. </w:t>
            </w:r>
          </w:p>
          <w:p w14:paraId="6F953361" w14:textId="1405CA25" w:rsidR="00A123D9" w:rsidRPr="00483DC7" w:rsidRDefault="00A123D9" w:rsidP="00A123D9">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În baza unei analize a barierelor și constrângerilor specifice, a fost elaborată teoria schimbării pentru a consolida cadrul instituțional de biosecuritate în gestionarea speciilor exotice invazive și a organismelor vii modificate printr-o măsură coordonată de analiză a riscurilor, în conformitate cu Protocolul de la Cartagena, protocolul său suplimentar și prevederile Convenției privind diversitatea biologică privind speciile străine. Proiectul se concentrează pe două rezultat critice: i) minimizarea riscurilor potențiale adverse asupra biodiversității în urma introducerii neintenționate și intenționate de specii invazive și OVM pe teritoriul Republicii Moldova; ii) îmbunătățirea integrității ecosistemului și a funcțio</w:t>
            </w:r>
            <w:r w:rsidR="00FB31F5" w:rsidRPr="00483DC7">
              <w:rPr>
                <w:rFonts w:ascii="Times New Roman" w:eastAsia="Times New Roman" w:hAnsi="Times New Roman" w:cs="Times New Roman"/>
                <w:color w:val="000000"/>
                <w:sz w:val="20"/>
                <w:szCs w:val="20"/>
                <w:lang w:val="ro-MD"/>
              </w:rPr>
              <w:t xml:space="preserve">nalității siturilor selectate în ecosisteme naturale cu valoare înaltă prin aplicarea mecanismului de răspundere și redresare. </w:t>
            </w:r>
          </w:p>
        </w:tc>
      </w:tr>
      <w:tr w:rsidR="00E653AF" w:rsidRPr="00483DC7" w14:paraId="40710A70" w14:textId="77777777" w:rsidTr="003B63AA">
        <w:trPr>
          <w:trHeight w:val="600"/>
        </w:trPr>
        <w:tc>
          <w:tcPr>
            <w:tcW w:w="1294" w:type="dxa"/>
            <w:shd w:val="clear" w:color="auto" w:fill="auto"/>
            <w:noWrap/>
            <w:vAlign w:val="center"/>
            <w:hideMark/>
          </w:tcPr>
          <w:p w14:paraId="5ACA8A97"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27339D39"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0223496F" w14:textId="17D088C7"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4. </w:t>
            </w:r>
            <w:r w:rsidR="00E653AF" w:rsidRPr="00483DC7">
              <w:rPr>
                <w:rFonts w:ascii="Times New Roman" w:eastAsia="Times New Roman" w:hAnsi="Times New Roman" w:cs="Times New Roman"/>
                <w:i/>
                <w:iCs/>
                <w:color w:val="000000"/>
                <w:sz w:val="20"/>
                <w:szCs w:val="20"/>
                <w:lang w:val="ro-MD"/>
              </w:rPr>
              <w:t>UNEP/GEF: Cadrul global pentru biodiversitate -proiect de sprijin pentru acțiune timpurie.</w:t>
            </w:r>
          </w:p>
        </w:tc>
        <w:tc>
          <w:tcPr>
            <w:tcW w:w="1476" w:type="dxa"/>
            <w:shd w:val="clear" w:color="auto" w:fill="auto"/>
            <w:vAlign w:val="center"/>
            <w:hideMark/>
          </w:tcPr>
          <w:p w14:paraId="1EC4E3DE" w14:textId="044A32F9"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614,00</w:t>
            </w:r>
          </w:p>
        </w:tc>
        <w:tc>
          <w:tcPr>
            <w:tcW w:w="1703" w:type="dxa"/>
            <w:shd w:val="clear" w:color="auto" w:fill="auto"/>
            <w:noWrap/>
            <w:vAlign w:val="center"/>
            <w:hideMark/>
          </w:tcPr>
          <w:p w14:paraId="02668C81"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1.614,00</w:t>
            </w:r>
          </w:p>
        </w:tc>
        <w:tc>
          <w:tcPr>
            <w:tcW w:w="6525" w:type="dxa"/>
            <w:shd w:val="clear" w:color="auto" w:fill="auto"/>
            <w:vAlign w:val="center"/>
            <w:hideMark/>
          </w:tcPr>
          <w:p w14:paraId="3328D49B" w14:textId="14B79D28" w:rsidR="00E653AF" w:rsidRPr="00483DC7" w:rsidRDefault="00E653AF" w:rsidP="00937E3D">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Elaborarea și preze</w:t>
            </w:r>
            <w:r w:rsidR="00937E3D">
              <w:rPr>
                <w:rFonts w:ascii="Times New Roman" w:eastAsia="Times New Roman" w:hAnsi="Times New Roman" w:cs="Times New Roman"/>
                <w:color w:val="000000"/>
                <w:sz w:val="20"/>
                <w:szCs w:val="20"/>
                <w:lang w:val="ro-MD"/>
              </w:rPr>
              <w:t xml:space="preserve">ntarea, </w:t>
            </w:r>
            <w:r w:rsidR="00937E3D" w:rsidRPr="00483DC7">
              <w:rPr>
                <w:rFonts w:ascii="Times New Roman" w:eastAsia="Times New Roman" w:hAnsi="Times New Roman" w:cs="Times New Roman"/>
                <w:color w:val="000000"/>
                <w:sz w:val="20"/>
                <w:szCs w:val="20"/>
                <w:lang w:val="ro-MD"/>
              </w:rPr>
              <w:t>la data de 16.12.2023</w:t>
            </w:r>
            <w:r w:rsidR="00937E3D">
              <w:rPr>
                <w:rFonts w:ascii="Times New Roman" w:eastAsia="Times New Roman" w:hAnsi="Times New Roman" w:cs="Times New Roman"/>
                <w:color w:val="000000"/>
                <w:sz w:val="20"/>
                <w:szCs w:val="20"/>
                <w:lang w:val="ro-MD"/>
              </w:rPr>
              <w:t>, către Cancelaria de Stat a</w:t>
            </w:r>
            <w:r w:rsidRPr="00483DC7">
              <w:rPr>
                <w:rFonts w:ascii="Times New Roman" w:eastAsia="Times New Roman" w:hAnsi="Times New Roman" w:cs="Times New Roman"/>
                <w:color w:val="000000"/>
                <w:sz w:val="20"/>
                <w:szCs w:val="20"/>
                <w:lang w:val="ro-MD"/>
              </w:rPr>
              <w:t xml:space="preserve"> Conceptul</w:t>
            </w:r>
            <w:r w:rsidR="00937E3D">
              <w:rPr>
                <w:rFonts w:ascii="Times New Roman" w:eastAsia="Times New Roman" w:hAnsi="Times New Roman" w:cs="Times New Roman"/>
                <w:color w:val="000000"/>
                <w:sz w:val="20"/>
                <w:szCs w:val="20"/>
                <w:lang w:val="ro-MD"/>
              </w:rPr>
              <w:t>ui</w:t>
            </w:r>
            <w:r w:rsidRPr="00483DC7">
              <w:rPr>
                <w:rFonts w:ascii="Times New Roman" w:eastAsia="Times New Roman" w:hAnsi="Times New Roman" w:cs="Times New Roman"/>
                <w:color w:val="000000"/>
                <w:sz w:val="20"/>
                <w:szCs w:val="20"/>
                <w:lang w:val="ro-MD"/>
              </w:rPr>
              <w:t xml:space="preserve"> Programului</w:t>
            </w:r>
            <w:r w:rsidR="00937E3D">
              <w:rPr>
                <w:rFonts w:ascii="Times New Roman" w:eastAsia="Times New Roman" w:hAnsi="Times New Roman" w:cs="Times New Roman"/>
                <w:color w:val="000000"/>
                <w:sz w:val="20"/>
                <w:szCs w:val="20"/>
                <w:lang w:val="ro-MD"/>
              </w:rPr>
              <w:t xml:space="preserve"> Național pentru Biodiversitate</w:t>
            </w:r>
            <w:r w:rsidRPr="00483DC7">
              <w:rPr>
                <w:rFonts w:ascii="Times New Roman" w:eastAsia="Times New Roman" w:hAnsi="Times New Roman" w:cs="Times New Roman"/>
                <w:color w:val="000000"/>
                <w:sz w:val="20"/>
                <w:szCs w:val="20"/>
                <w:lang w:val="ro-MD"/>
              </w:rPr>
              <w:t>.</w:t>
            </w:r>
            <w:r w:rsidR="00FB31F5" w:rsidRPr="00483DC7">
              <w:rPr>
                <w:rFonts w:ascii="Times New Roman" w:eastAsia="Times New Roman" w:hAnsi="Times New Roman" w:cs="Times New Roman"/>
                <w:color w:val="000000"/>
                <w:sz w:val="20"/>
                <w:szCs w:val="20"/>
                <w:lang w:val="ro-MD"/>
              </w:rPr>
              <w:t xml:space="preserve"> Proiectul Programului Național pentru Biodiversitate pentru anii 2024-2030, elaborat în baza generalizărilor și evaluărilor efectuate de către experții locali în vederea implementării Cadrului Global de Biodiversitate Kumming-Montreal 2030, țintelor globale de biodiversitate pentru perioada până la 2030, dar și în vederea asigurării procesului de aderare a Republicii Moldova la Uniunea Europeană conform Acordului de Asociere între Republica Moldova, pe de o parte și Uniunea Europeană și Comunitatea Europeană a Energiei Atomice și statele membre ale acestora, pe de altă parte, ratificat prin Legea nr.112</w:t>
            </w:r>
            <w:r w:rsidR="00937E3D">
              <w:rPr>
                <w:rFonts w:ascii="Times New Roman" w:eastAsia="Times New Roman" w:hAnsi="Times New Roman" w:cs="Times New Roman"/>
                <w:color w:val="000000"/>
                <w:sz w:val="20"/>
                <w:szCs w:val="20"/>
                <w:lang w:val="ro-MD"/>
              </w:rPr>
              <w:t>/2014</w:t>
            </w:r>
            <w:r w:rsidR="00FB31F5" w:rsidRPr="00483DC7">
              <w:rPr>
                <w:rFonts w:ascii="Times New Roman" w:eastAsia="Times New Roman" w:hAnsi="Times New Roman" w:cs="Times New Roman"/>
                <w:color w:val="000000"/>
                <w:sz w:val="20"/>
                <w:szCs w:val="20"/>
                <w:lang w:val="ro-MD"/>
              </w:rPr>
              <w:t xml:space="preserve">. Programul reflectă angajamentul Republicii Moldova în temeiul Convenției privind diversitatea biologică, la care țara este parte din 18.01.1996 și este elaborat în vederea executării prevederilor Strategiei de Mediu pentru anii 2024-2030, aprobată prin Hotărârea Guvernului nr.887/2023. Programul este un document cadru de politici care, prin obiective specifice și acțiunile schițate, își propune să reducă presiunile asupra biodiversității, să protejeze și să </w:t>
            </w:r>
            <w:r w:rsidR="00535F3A" w:rsidRPr="00483DC7">
              <w:rPr>
                <w:rFonts w:ascii="Times New Roman" w:eastAsia="Times New Roman" w:hAnsi="Times New Roman" w:cs="Times New Roman"/>
                <w:color w:val="000000"/>
                <w:sz w:val="20"/>
                <w:szCs w:val="20"/>
                <w:lang w:val="ro-MD"/>
              </w:rPr>
              <w:t xml:space="preserve">restaureze ecosistemele și să stimuleze schimbările profunde pentru a inversa traiectoria declinului biodiversității. Au fost identificate și elaborate 23 de ținte naționale privind diversitatea biologică pentru Republica Moldova. Planul de acțiuni 2024-2030 conține 5 direcții prioritate de dezvoltare și reflectă acțiunile necesare pentru atingerea obiectivelor specifice pentru realizare pentru perioada următoare. </w:t>
            </w:r>
          </w:p>
        </w:tc>
      </w:tr>
      <w:tr w:rsidR="00E653AF" w:rsidRPr="00483DC7" w14:paraId="2458B504" w14:textId="77777777" w:rsidTr="003B63AA">
        <w:trPr>
          <w:trHeight w:val="600"/>
        </w:trPr>
        <w:tc>
          <w:tcPr>
            <w:tcW w:w="1294" w:type="dxa"/>
            <w:shd w:val="clear" w:color="auto" w:fill="auto"/>
            <w:noWrap/>
            <w:vAlign w:val="center"/>
            <w:hideMark/>
          </w:tcPr>
          <w:p w14:paraId="4BAA4A25"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5EEB5704"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05760BAC" w14:textId="1DF334B1"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5. </w:t>
            </w:r>
            <w:r w:rsidR="00E653AF" w:rsidRPr="00483DC7">
              <w:rPr>
                <w:rFonts w:ascii="Times New Roman" w:eastAsia="Times New Roman" w:hAnsi="Times New Roman" w:cs="Times New Roman"/>
                <w:i/>
                <w:iCs/>
                <w:color w:val="000000"/>
                <w:sz w:val="20"/>
                <w:szCs w:val="20"/>
                <w:lang w:val="ro-MD"/>
              </w:rPr>
              <w:t>Deșeuri Solide Moldova (zonele de management a deșeurilor nr.1,5,8)</w:t>
            </w:r>
          </w:p>
        </w:tc>
        <w:tc>
          <w:tcPr>
            <w:tcW w:w="1476" w:type="dxa"/>
            <w:shd w:val="clear" w:color="auto" w:fill="auto"/>
            <w:vAlign w:val="center"/>
            <w:hideMark/>
          </w:tcPr>
          <w:p w14:paraId="1CAA8972"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703" w:type="dxa"/>
            <w:shd w:val="clear" w:color="auto" w:fill="auto"/>
            <w:noWrap/>
            <w:vAlign w:val="center"/>
            <w:hideMark/>
          </w:tcPr>
          <w:p w14:paraId="5567AA9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6525" w:type="dxa"/>
            <w:shd w:val="clear" w:color="auto" w:fill="auto"/>
            <w:vAlign w:val="center"/>
            <w:hideMark/>
          </w:tcPr>
          <w:p w14:paraId="050823F9"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w:t>
            </w:r>
          </w:p>
        </w:tc>
      </w:tr>
      <w:tr w:rsidR="00E653AF" w:rsidRPr="00483DC7" w14:paraId="5C1EE61A" w14:textId="77777777" w:rsidTr="003B63AA">
        <w:trPr>
          <w:trHeight w:val="568"/>
        </w:trPr>
        <w:tc>
          <w:tcPr>
            <w:tcW w:w="1294" w:type="dxa"/>
            <w:shd w:val="clear" w:color="auto" w:fill="auto"/>
            <w:noWrap/>
            <w:vAlign w:val="center"/>
            <w:hideMark/>
          </w:tcPr>
          <w:p w14:paraId="7A251EB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7D181829"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hideMark/>
          </w:tcPr>
          <w:p w14:paraId="2063DA67" w14:textId="560D26FD" w:rsidR="00E653AF" w:rsidRPr="00483DC7" w:rsidRDefault="000C0BCA" w:rsidP="000C0BCA">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6. </w:t>
            </w:r>
            <w:r w:rsidR="00E653AF" w:rsidRPr="00483DC7">
              <w:rPr>
                <w:rFonts w:ascii="Times New Roman" w:eastAsia="Times New Roman" w:hAnsi="Times New Roman" w:cs="Times New Roman"/>
                <w:i/>
                <w:iCs/>
                <w:color w:val="000000"/>
                <w:sz w:val="20"/>
                <w:szCs w:val="20"/>
                <w:lang w:val="ro-MD"/>
              </w:rPr>
              <w:t>Implementarea tranșei 1 din etapa III a Planului de management pentru suprimarea eșalonată a HCFC în Republica Moldova (HPMP III, tranșa 1 componenta UNEP)”</w:t>
            </w:r>
          </w:p>
        </w:tc>
        <w:tc>
          <w:tcPr>
            <w:tcW w:w="1476" w:type="dxa"/>
            <w:shd w:val="clear" w:color="auto" w:fill="auto"/>
            <w:vAlign w:val="center"/>
            <w:hideMark/>
          </w:tcPr>
          <w:p w14:paraId="31BE5E7C"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278,60</w:t>
            </w:r>
          </w:p>
        </w:tc>
        <w:tc>
          <w:tcPr>
            <w:tcW w:w="1703" w:type="dxa"/>
            <w:shd w:val="clear" w:color="auto" w:fill="auto"/>
            <w:noWrap/>
            <w:vAlign w:val="center"/>
            <w:hideMark/>
          </w:tcPr>
          <w:p w14:paraId="6F3B964F"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278,60</w:t>
            </w:r>
          </w:p>
        </w:tc>
        <w:tc>
          <w:tcPr>
            <w:tcW w:w="6525" w:type="dxa"/>
            <w:shd w:val="clear" w:color="auto" w:fill="auto"/>
            <w:hideMark/>
          </w:tcPr>
          <w:p w14:paraId="1EC9FCE8" w14:textId="75240EF1" w:rsidR="003B63AA"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În anul 2022 a fost contractat un expert național care a elaborat proiectele de acte normative necesare pentru modificarea cadrului normativ în vederea asigurării procesului de suprimare eșalonată a substanțelor care distrug stratul de ozon, prevăzute de Protocolul de la Montreal. În acest sens au fost elaborate următoarele proiecte de acte normative și documente de suport: 1. Proiectul Legii pentru modificarea unor acte normative (modificarea Legii nr.852/2002 pentru aprobarea Regulamentului cu privire la regimul comercial şi reglementarea utilizării hidrocarburilor halogenate care distrug stratul de ozon, Legea nr. 277/2018 privind substanțele chimice și Legea nr. 160/2011 privind reglementarea prin autorizare a activității de întreprinzător). 2. Analiza Impactului proiectului de lege pentru modificarea unor acte normative și Notei Informative pentru promovarea proiectului propus spre aprobare conform Legii RM nr.100/2017 cu privire la actele normative; 3. Tabelul de Concordanță la  prevederile Legii nr.852/2002 pentru aprobarea Regulamentului cu privire la regimul comercial şi reglementarea utilizării hidrocarburilor halogenate care distrug stratul de ozon cu prevederile Regulamentului (CE) nr . 1005/2009 din 16 septembrie 2009 privind substanțele care diminuează stratul de ozon; 4. proiectul Hotărârii de Guvern pentru modificarea unor Hotărâri de Guvern (HG nr. 589/2018 cu privire la stabilirea mecanismului de repartizare a contingentelor anuale pentru importul hidroclorofluorocarburilor halogenate, HG nr. 549/2018 cu privire la constituirea, organizarea și funcționarea Agenției de Mediu și HG nr. 535/2020 pentru aprobarea Conceptului tehnic al Sistemului informațional automatizat „Registrul produselor chimice plasate pe piața Republicii Moldova”); 5. Analiza Impactului la proiectului de HG cu privire la modificarea unor Hotărâri de Guvern și Notei Informative pentru promovarea proiectului propus spre aprobare conform Legii RM nr.100/2017 cu privire la actele normative.</w:t>
            </w:r>
          </w:p>
          <w:p w14:paraId="5C0237AE" w14:textId="5D7AB89A"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În anul 2023 au fost contractați doi experți naționali care au elaborat analiza ex-ante a impactului Programului de suprimare eșalonată a hidrofluorcarburilor, precum și suport la elaborare de documente de politici aferente ratificării Amendamentului de la Kigali. Au fost instruiți 40 de  specialiști din sectorul frigorific, condiționare a aerului și pompe de căldură (RACPC) în cadrul a două evenimente  (14-18 martie 2023, 20-24 martie 2023). Toți participanții au fost evaluați și li s-au acordat certificate de competență profesională (în conformitate cu prevederile HG nr. 483/2019). Au fost publicate materiale de suport pentru specialiștii din sectorul frigorific, condiționare a aerului și pompe de căldură privind noii agenți frigorifici și standardele de securitate referitor la aceștia. Au fost instruiți 38 de inspectori de mediu din cadrul Inspectoratului de Mediu cât și din cadrul inspectoratelor teritoriale (29 noiembrie 2023). Au fost instruiți 20 de funcționari vamali din prima linie, care lucrează atât în posturile vamale de frontieră, cât și în posturile vamale interne, funcționarii responsabili de analiza riscurilor, controlul vamal și facilitarea comerțului. (12 septembrie 2023).</w:t>
            </w:r>
          </w:p>
        </w:tc>
      </w:tr>
      <w:tr w:rsidR="00E653AF" w:rsidRPr="00483DC7" w14:paraId="6DFDA978" w14:textId="77777777" w:rsidTr="003B63AA">
        <w:trPr>
          <w:trHeight w:val="1425"/>
        </w:trPr>
        <w:tc>
          <w:tcPr>
            <w:tcW w:w="1294" w:type="dxa"/>
            <w:shd w:val="clear" w:color="auto" w:fill="auto"/>
            <w:noWrap/>
            <w:vAlign w:val="center"/>
            <w:hideMark/>
          </w:tcPr>
          <w:p w14:paraId="286E4FC2"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2AF696ED"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hideMark/>
          </w:tcPr>
          <w:p w14:paraId="5108C695" w14:textId="04966C8A" w:rsidR="00E653AF" w:rsidRPr="00483DC7" w:rsidRDefault="000C0BCA" w:rsidP="000C0BCA">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7. </w:t>
            </w:r>
            <w:r w:rsidR="00E653AF" w:rsidRPr="00483DC7">
              <w:rPr>
                <w:rFonts w:ascii="Times New Roman" w:eastAsia="Times New Roman" w:hAnsi="Times New Roman" w:cs="Times New Roman"/>
                <w:i/>
                <w:iCs/>
                <w:color w:val="000000"/>
                <w:sz w:val="20"/>
                <w:szCs w:val="20"/>
                <w:lang w:val="ro-MD"/>
              </w:rPr>
              <w:t>Support to Post-ratification of the Minamata Convention to the Republic of Moldova by Building Phase-down Capacities and Reducing Risks Associated with Mercury</w:t>
            </w:r>
          </w:p>
        </w:tc>
        <w:tc>
          <w:tcPr>
            <w:tcW w:w="1476" w:type="dxa"/>
            <w:shd w:val="clear" w:color="auto" w:fill="auto"/>
            <w:vAlign w:val="center"/>
            <w:hideMark/>
          </w:tcPr>
          <w:p w14:paraId="58B71CB7" w14:textId="2DE6CF31"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775,70</w:t>
            </w:r>
          </w:p>
        </w:tc>
        <w:tc>
          <w:tcPr>
            <w:tcW w:w="1703" w:type="dxa"/>
            <w:shd w:val="clear" w:color="auto" w:fill="auto"/>
            <w:noWrap/>
            <w:vAlign w:val="center"/>
            <w:hideMark/>
          </w:tcPr>
          <w:p w14:paraId="03D5897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3.775,70</w:t>
            </w:r>
          </w:p>
        </w:tc>
        <w:tc>
          <w:tcPr>
            <w:tcW w:w="6525" w:type="dxa"/>
            <w:shd w:val="clear" w:color="auto" w:fill="auto"/>
            <w:hideMark/>
          </w:tcPr>
          <w:p w14:paraId="3207BD80" w14:textId="7A0B3BE9" w:rsidR="00E653AF" w:rsidRPr="00483DC7" w:rsidRDefault="00E653AF" w:rsidP="00937E3D">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Proiectul Regulamentului pentru gestionarea ecologică a deșeurilor de mercur ; Vizite de studiu pentru preluarea experienței și bunelor practice realizate în Germania și România; Procurarea containerelor și a produselor alternative de substituire a produselor/dispozitivelor cu Hg și elaborarea listei instituțiilor de repartizarea a acestora din sectorul de sănătate, preponderent pentru femei și copii; Elaborarea proiectului Ghidului privind gestionarea ecologică a deșeurilor care conțin mercur; Organizarea și desfășurarea atelierului de instruire pentru reprezentanții autoritățilo</w:t>
            </w:r>
            <w:r w:rsidR="00483DC7" w:rsidRPr="00483DC7">
              <w:rPr>
                <w:rFonts w:ascii="Times New Roman" w:eastAsia="Times New Roman" w:hAnsi="Times New Roman" w:cs="Times New Roman"/>
                <w:color w:val="000000"/>
                <w:sz w:val="20"/>
                <w:szCs w:val="20"/>
                <w:lang w:val="ro-MD"/>
              </w:rPr>
              <w:t>r naționale cu competențe și re</w:t>
            </w:r>
            <w:r w:rsidRPr="00483DC7">
              <w:rPr>
                <w:rFonts w:ascii="Times New Roman" w:eastAsia="Times New Roman" w:hAnsi="Times New Roman" w:cs="Times New Roman"/>
                <w:color w:val="000000"/>
                <w:sz w:val="20"/>
                <w:szCs w:val="20"/>
                <w:lang w:val="ro-MD"/>
              </w:rPr>
              <w:t>s</w:t>
            </w:r>
            <w:r w:rsidR="00483DC7" w:rsidRPr="00483DC7">
              <w:rPr>
                <w:rFonts w:ascii="Times New Roman" w:eastAsia="Times New Roman" w:hAnsi="Times New Roman" w:cs="Times New Roman"/>
                <w:color w:val="000000"/>
                <w:sz w:val="20"/>
                <w:szCs w:val="20"/>
                <w:lang w:val="ro-MD"/>
              </w:rPr>
              <w:t>p</w:t>
            </w:r>
            <w:r w:rsidRPr="00483DC7">
              <w:rPr>
                <w:rFonts w:ascii="Times New Roman" w:eastAsia="Times New Roman" w:hAnsi="Times New Roman" w:cs="Times New Roman"/>
                <w:color w:val="000000"/>
                <w:sz w:val="20"/>
                <w:szCs w:val="20"/>
                <w:lang w:val="ro-MD"/>
              </w:rPr>
              <w:t xml:space="preserve">onsabilități în gestionarea deșeurilor cu mercur, cu genericul „Dezvoltarea cadrului legal, instituțional și operațional în domeniul gestionării și depozitării în siguranță a deșeurilor de mercur. Provocări și realități".  Raportul de evaluare/estimare a cantității de </w:t>
            </w:r>
            <w:r w:rsidR="00483DC7" w:rsidRPr="00483DC7">
              <w:rPr>
                <w:rFonts w:ascii="Times New Roman" w:eastAsia="Times New Roman" w:hAnsi="Times New Roman" w:cs="Times New Roman"/>
                <w:color w:val="000000"/>
                <w:sz w:val="20"/>
                <w:szCs w:val="20"/>
                <w:lang w:val="ro-MD"/>
              </w:rPr>
              <w:t>deșeuri</w:t>
            </w:r>
            <w:r w:rsidR="00937E3D">
              <w:rPr>
                <w:rFonts w:ascii="Times New Roman" w:eastAsia="Times New Roman" w:hAnsi="Times New Roman" w:cs="Times New Roman"/>
                <w:color w:val="000000"/>
                <w:sz w:val="20"/>
                <w:szCs w:val="20"/>
                <w:lang w:val="ro-MD"/>
              </w:rPr>
              <w:t xml:space="preserve"> de mercur din circuit civil</w:t>
            </w:r>
            <w:r w:rsidRPr="00483DC7">
              <w:rPr>
                <w:rFonts w:ascii="Times New Roman" w:eastAsia="Times New Roman" w:hAnsi="Times New Roman" w:cs="Times New Roman"/>
                <w:color w:val="000000"/>
                <w:sz w:val="20"/>
                <w:szCs w:val="20"/>
                <w:lang w:val="ro-MD"/>
              </w:rPr>
              <w:t>; Plan operațional  pentru aplicarea schemei de responsabilitate extinsă pentru produsele ce conțin mer</w:t>
            </w:r>
            <w:r w:rsidR="00937E3D">
              <w:rPr>
                <w:rFonts w:ascii="Times New Roman" w:eastAsia="Times New Roman" w:hAnsi="Times New Roman" w:cs="Times New Roman"/>
                <w:color w:val="000000"/>
                <w:sz w:val="20"/>
                <w:szCs w:val="20"/>
                <w:lang w:val="ro-MD"/>
              </w:rPr>
              <w:t>cur/ compuși de mercur elaborat</w:t>
            </w:r>
            <w:r w:rsidRPr="00483DC7">
              <w:rPr>
                <w:rFonts w:ascii="Times New Roman" w:eastAsia="Times New Roman" w:hAnsi="Times New Roman" w:cs="Times New Roman"/>
                <w:color w:val="000000"/>
                <w:sz w:val="20"/>
                <w:szCs w:val="20"/>
                <w:lang w:val="ro-MD"/>
              </w:rPr>
              <w:t>; Atelier de instruire pentru ope</w:t>
            </w:r>
            <w:r w:rsidR="00937E3D">
              <w:rPr>
                <w:rFonts w:ascii="Times New Roman" w:eastAsia="Times New Roman" w:hAnsi="Times New Roman" w:cs="Times New Roman"/>
                <w:color w:val="000000"/>
                <w:sz w:val="20"/>
                <w:szCs w:val="20"/>
                <w:lang w:val="ro-MD"/>
              </w:rPr>
              <w:t>ratorii economici și autorități</w:t>
            </w:r>
            <w:r w:rsidRPr="00483DC7">
              <w:rPr>
                <w:rFonts w:ascii="Times New Roman" w:eastAsia="Times New Roman" w:hAnsi="Times New Roman" w:cs="Times New Roman"/>
                <w:color w:val="000000"/>
                <w:sz w:val="20"/>
                <w:szCs w:val="20"/>
                <w:lang w:val="ro-MD"/>
              </w:rPr>
              <w:t>; Strategie de  comunicare și sensibilizare privind reducerea riscului de expunere l</w:t>
            </w:r>
            <w:r w:rsidR="00937E3D">
              <w:rPr>
                <w:rFonts w:ascii="Times New Roman" w:eastAsia="Times New Roman" w:hAnsi="Times New Roman" w:cs="Times New Roman"/>
                <w:color w:val="000000"/>
                <w:sz w:val="20"/>
                <w:szCs w:val="20"/>
                <w:lang w:val="ro-MD"/>
              </w:rPr>
              <w:t>a mercur și Planului de acțiuni</w:t>
            </w:r>
            <w:r w:rsidRPr="00483DC7">
              <w:rPr>
                <w:rFonts w:ascii="Times New Roman" w:eastAsia="Times New Roman" w:hAnsi="Times New Roman" w:cs="Times New Roman"/>
                <w:color w:val="000000"/>
                <w:sz w:val="20"/>
                <w:szCs w:val="20"/>
                <w:lang w:val="ro-MD"/>
              </w:rPr>
              <w:t>; 2 studii:  Raportul de evaluare a instituțiilor din sectorul de sănătate care necesită substituirea dispozitivelor/obiectelor/produselor de măsurare cu mercur în Republica Moldova; Raportul analitic cost-beneficiu privind substituirea dispozitivelor/obiectelor/produselor de măsurare cu mercur în Republica Moldova cu dispozitive alternative în instituțiile de sănătate; Atelier de instruire ,,Stăpânirea competenței comunicative și formarea abilităților de comunicare"". Procedură de procurare a containerelor și a produselor alternative de substituire a produselor/dispozitivelor cu H</w:t>
            </w:r>
            <w:r w:rsidR="00937E3D">
              <w:rPr>
                <w:rFonts w:ascii="Times New Roman" w:eastAsia="Times New Roman" w:hAnsi="Times New Roman" w:cs="Times New Roman"/>
                <w:color w:val="000000"/>
                <w:sz w:val="20"/>
                <w:szCs w:val="20"/>
                <w:lang w:val="ro-MD"/>
              </w:rPr>
              <w:t>G</w:t>
            </w:r>
            <w:r w:rsidRPr="00483DC7">
              <w:rPr>
                <w:rFonts w:ascii="Times New Roman" w:eastAsia="Times New Roman" w:hAnsi="Times New Roman" w:cs="Times New Roman"/>
                <w:color w:val="000000"/>
                <w:sz w:val="20"/>
                <w:szCs w:val="20"/>
                <w:lang w:val="ro-MD"/>
              </w:rPr>
              <w:t xml:space="preserve">; Lista instituțiilor de repartizarea a acestora din sectorul de sănătate, preponderent pentru femei și copii ; Workshop Regional „Îmbunătățirea răspunsului de mediu pentru a aborda și reduce riscurile asociate cu mercurul și consolidarea capacităților instituționale în Europa Centrală și de Sud-Est” [România, Muntenegru, Macedonia de Nord, Programul Națiunilor Unite pentru Mediu  Bulgaria și Slovenia, Europol]. </w:t>
            </w:r>
          </w:p>
        </w:tc>
      </w:tr>
      <w:tr w:rsidR="00E653AF" w:rsidRPr="00483DC7" w14:paraId="55751364" w14:textId="77777777" w:rsidTr="003B63AA">
        <w:trPr>
          <w:trHeight w:val="3390"/>
        </w:trPr>
        <w:tc>
          <w:tcPr>
            <w:tcW w:w="1294" w:type="dxa"/>
            <w:shd w:val="clear" w:color="auto" w:fill="auto"/>
            <w:noWrap/>
            <w:vAlign w:val="center"/>
            <w:hideMark/>
          </w:tcPr>
          <w:p w14:paraId="375B55DB"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45F996BD"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hideMark/>
          </w:tcPr>
          <w:p w14:paraId="1318A4E2" w14:textId="0B7EB355" w:rsidR="00E653AF" w:rsidRPr="00483DC7" w:rsidRDefault="000C0BCA" w:rsidP="006E1DF2">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8. </w:t>
            </w:r>
            <w:r w:rsidR="00E653AF" w:rsidRPr="00483DC7">
              <w:rPr>
                <w:rFonts w:ascii="Times New Roman" w:eastAsia="Times New Roman" w:hAnsi="Times New Roman" w:cs="Times New Roman"/>
                <w:i/>
                <w:iCs/>
                <w:color w:val="000000"/>
                <w:sz w:val="20"/>
                <w:szCs w:val="20"/>
                <w:lang w:val="ro-MD"/>
              </w:rPr>
              <w:t xml:space="preserve">Proiectul UNEP/GEF: </w:t>
            </w:r>
            <w:r w:rsidR="006E1DF2">
              <w:rPr>
                <w:rFonts w:ascii="Times New Roman" w:eastAsia="Times New Roman" w:hAnsi="Times New Roman" w:cs="Times New Roman"/>
                <w:i/>
                <w:iCs/>
                <w:color w:val="000000"/>
                <w:sz w:val="20"/>
                <w:szCs w:val="20"/>
                <w:lang w:val="ro-MD"/>
              </w:rPr>
              <w:t>„</w:t>
            </w:r>
            <w:r w:rsidR="00E653AF" w:rsidRPr="00483DC7">
              <w:rPr>
                <w:rFonts w:ascii="Times New Roman" w:eastAsia="Times New Roman" w:hAnsi="Times New Roman" w:cs="Times New Roman"/>
                <w:i/>
                <w:iCs/>
                <w:color w:val="000000"/>
                <w:sz w:val="20"/>
                <w:szCs w:val="20"/>
                <w:lang w:val="ro-MD"/>
              </w:rPr>
              <w:t>Republica Moldova: Pregătirea Comunicării Naționale Cinci în cadrul Convenției-cadru a Organizației Națiunilor Unite pentru schimbările climatice”</w:t>
            </w:r>
          </w:p>
        </w:tc>
        <w:tc>
          <w:tcPr>
            <w:tcW w:w="1476" w:type="dxa"/>
            <w:shd w:val="clear" w:color="auto" w:fill="auto"/>
            <w:vAlign w:val="center"/>
            <w:hideMark/>
          </w:tcPr>
          <w:p w14:paraId="337A2BDF" w14:textId="52AF7A2A"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629,00</w:t>
            </w:r>
          </w:p>
        </w:tc>
        <w:tc>
          <w:tcPr>
            <w:tcW w:w="1703" w:type="dxa"/>
            <w:shd w:val="clear" w:color="auto" w:fill="auto"/>
            <w:noWrap/>
            <w:vAlign w:val="center"/>
            <w:hideMark/>
          </w:tcPr>
          <w:p w14:paraId="70F1E592"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8.575,00</w:t>
            </w:r>
          </w:p>
        </w:tc>
        <w:tc>
          <w:tcPr>
            <w:tcW w:w="6525" w:type="dxa"/>
            <w:shd w:val="clear" w:color="auto" w:fill="auto"/>
            <w:hideMark/>
          </w:tcPr>
          <w:p w14:paraId="0B0110E5"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Implementarea Sistemului Național de Inventariere (SIN) și gestionarea datelor. Finalizarea și prezentarea Comunicării Naționale Cinci și a anexelor tehnice către Secretariatul CONUSC. Consultarea instituțiilor și organizațiilor conform Hotărârii Guvernului nr. 1277/2018. Compilarea și publicarea în limba engleză a culegerii privind impactul schimbărilor climatice în Republica Moldova. </w:t>
            </w:r>
          </w:p>
          <w:p w14:paraId="42F1E899"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Compilarea inventarului național de gaze cu efect de seră (1990-2020) și publicarea în format MS Excel. Compilarea și publicarea broșurii de conștientizare „Schimbările climatice în Republica Moldova” în română și engleză. Elaborarea și prezentarea proiectului final al Raportului Național de Inventariere (1990-2020) pentru aprobare. Organizarea a 3 seminare naționale și 4 regionale pentru prezentarea rezultatelor proiectului către instituțiile partenere și societatea civilă. Elaborarea și prezentarea Raportului privind SIN pentru 2022. Participarea experților la seminarul CONUSC din Cambodgia privind raportarea adaptării la schimbările climatice. Elaborarea și prezentarea proiectului Comunicării Naționale Cinci pentru raportare către CONUSC. Elaborarea și prezentarea către UNEP a Raportului Final al proiectului pentru aprobare. Crearea broșurii de conștientizare ”Schimbările climatice în Republica Moldova”. Planificarea auditului final al proiectului. Pregătirea și prezentarea propunerii de proiect GEF-8 către UNEP. </w:t>
            </w:r>
          </w:p>
        </w:tc>
      </w:tr>
      <w:tr w:rsidR="00E653AF" w:rsidRPr="00483DC7" w14:paraId="088B9232" w14:textId="77777777" w:rsidTr="003B63AA">
        <w:trPr>
          <w:trHeight w:val="419"/>
        </w:trPr>
        <w:tc>
          <w:tcPr>
            <w:tcW w:w="1294" w:type="dxa"/>
            <w:shd w:val="clear" w:color="auto" w:fill="auto"/>
            <w:noWrap/>
            <w:vAlign w:val="center"/>
            <w:hideMark/>
          </w:tcPr>
          <w:p w14:paraId="0775CD0E"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4D4850E0"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hideMark/>
          </w:tcPr>
          <w:p w14:paraId="6A538374" w14:textId="504E3731" w:rsidR="00E653AF" w:rsidRPr="00483DC7" w:rsidRDefault="000C0BCA" w:rsidP="006E1DF2">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9. </w:t>
            </w:r>
            <w:r w:rsidR="00E653AF" w:rsidRPr="00483DC7">
              <w:rPr>
                <w:rFonts w:ascii="Times New Roman" w:eastAsia="Times New Roman" w:hAnsi="Times New Roman" w:cs="Times New Roman"/>
                <w:i/>
                <w:iCs/>
                <w:color w:val="000000"/>
                <w:sz w:val="20"/>
                <w:szCs w:val="20"/>
                <w:lang w:val="ro-MD"/>
              </w:rPr>
              <w:t>Proiect nr</w:t>
            </w:r>
            <w:r w:rsidR="006E1DF2">
              <w:rPr>
                <w:rFonts w:ascii="Times New Roman" w:eastAsia="Times New Roman" w:hAnsi="Times New Roman" w:cs="Times New Roman"/>
                <w:i/>
                <w:iCs/>
                <w:color w:val="000000"/>
                <w:sz w:val="20"/>
                <w:szCs w:val="20"/>
                <w:lang w:val="ro-MD"/>
              </w:rPr>
              <w:t>.</w:t>
            </w:r>
            <w:r w:rsidR="00E653AF" w:rsidRPr="00483DC7">
              <w:rPr>
                <w:rFonts w:ascii="Times New Roman" w:eastAsia="Times New Roman" w:hAnsi="Times New Roman" w:cs="Times New Roman"/>
                <w:i/>
                <w:iCs/>
                <w:color w:val="000000"/>
                <w:sz w:val="20"/>
                <w:szCs w:val="20"/>
                <w:lang w:val="ro-MD"/>
              </w:rPr>
              <w:t xml:space="preserve"> 2 Proiectul „Activit</w:t>
            </w:r>
            <w:r w:rsidR="00483DC7" w:rsidRPr="00483DC7">
              <w:rPr>
                <w:rFonts w:ascii="Times New Roman" w:eastAsia="Times New Roman" w:hAnsi="Times New Roman" w:cs="Times New Roman"/>
                <w:i/>
                <w:iCs/>
                <w:color w:val="000000"/>
                <w:sz w:val="20"/>
                <w:szCs w:val="20"/>
                <w:lang w:val="ro-MD"/>
              </w:rPr>
              <w:t>ăț</w:t>
            </w:r>
            <w:r w:rsidR="00E653AF" w:rsidRPr="00483DC7">
              <w:rPr>
                <w:rFonts w:ascii="Times New Roman" w:eastAsia="Times New Roman" w:hAnsi="Times New Roman" w:cs="Times New Roman"/>
                <w:i/>
                <w:iCs/>
                <w:color w:val="000000"/>
                <w:sz w:val="20"/>
                <w:szCs w:val="20"/>
                <w:lang w:val="ro-MD"/>
              </w:rPr>
              <w:t>i de pregătire a rapoartelor bienale de tr</w:t>
            </w:r>
            <w:r w:rsidR="00483DC7" w:rsidRPr="00483DC7">
              <w:rPr>
                <w:rFonts w:ascii="Times New Roman" w:eastAsia="Times New Roman" w:hAnsi="Times New Roman" w:cs="Times New Roman"/>
                <w:i/>
                <w:iCs/>
                <w:color w:val="000000"/>
                <w:sz w:val="20"/>
                <w:szCs w:val="20"/>
                <w:lang w:val="ro-MD"/>
              </w:rPr>
              <w:t>ansparen</w:t>
            </w:r>
            <w:r w:rsidR="006E1DF2">
              <w:rPr>
                <w:rFonts w:ascii="Times New Roman" w:eastAsia="Times New Roman" w:hAnsi="Times New Roman" w:cs="Times New Roman"/>
                <w:i/>
                <w:iCs/>
                <w:color w:val="000000"/>
                <w:sz w:val="20"/>
                <w:szCs w:val="20"/>
                <w:lang w:val="ro-RO"/>
              </w:rPr>
              <w:t>ță</w:t>
            </w:r>
            <w:r w:rsidR="00483DC7" w:rsidRPr="00483DC7">
              <w:rPr>
                <w:rFonts w:ascii="Times New Roman" w:eastAsia="Times New Roman" w:hAnsi="Times New Roman" w:cs="Times New Roman"/>
                <w:i/>
                <w:iCs/>
                <w:color w:val="000000"/>
                <w:sz w:val="20"/>
                <w:szCs w:val="20"/>
                <w:lang w:val="ro-MD"/>
              </w:rPr>
              <w:t xml:space="preserve"> (BTR) conform Convenț</w:t>
            </w:r>
            <w:r w:rsidR="00E653AF" w:rsidRPr="00483DC7">
              <w:rPr>
                <w:rFonts w:ascii="Times New Roman" w:eastAsia="Times New Roman" w:hAnsi="Times New Roman" w:cs="Times New Roman"/>
                <w:i/>
                <w:iCs/>
                <w:color w:val="000000"/>
                <w:sz w:val="20"/>
                <w:szCs w:val="20"/>
                <w:lang w:val="ro-MD"/>
              </w:rPr>
              <w:t>iei-cadru a ONU privind schimbările climatice</w:t>
            </w:r>
            <w:r w:rsidR="006E1DF2">
              <w:rPr>
                <w:rFonts w:ascii="Times New Roman" w:eastAsia="Times New Roman" w:hAnsi="Times New Roman" w:cs="Times New Roman"/>
                <w:i/>
                <w:iCs/>
                <w:color w:val="000000"/>
                <w:sz w:val="20"/>
                <w:szCs w:val="20"/>
              </w:rPr>
              <w:t>”</w:t>
            </w:r>
            <w:r w:rsidR="00E653AF" w:rsidRPr="00483DC7">
              <w:rPr>
                <w:rFonts w:ascii="Times New Roman" w:eastAsia="Times New Roman" w:hAnsi="Times New Roman" w:cs="Times New Roman"/>
                <w:i/>
                <w:iCs/>
                <w:color w:val="000000"/>
                <w:sz w:val="20"/>
                <w:szCs w:val="20"/>
                <w:lang w:val="ro-MD"/>
              </w:rPr>
              <w:t xml:space="preserve"> (UNFCCC)</w:t>
            </w:r>
          </w:p>
        </w:tc>
        <w:tc>
          <w:tcPr>
            <w:tcW w:w="1476" w:type="dxa"/>
            <w:shd w:val="clear" w:color="auto" w:fill="auto"/>
            <w:vAlign w:val="center"/>
            <w:hideMark/>
          </w:tcPr>
          <w:p w14:paraId="20E6F06E" w14:textId="3AFE1B94"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351,10</w:t>
            </w:r>
          </w:p>
        </w:tc>
        <w:tc>
          <w:tcPr>
            <w:tcW w:w="1703" w:type="dxa"/>
            <w:shd w:val="clear" w:color="auto" w:fill="auto"/>
            <w:noWrap/>
            <w:vAlign w:val="center"/>
            <w:hideMark/>
          </w:tcPr>
          <w:p w14:paraId="56A26608"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4.351,10</w:t>
            </w:r>
          </w:p>
        </w:tc>
        <w:tc>
          <w:tcPr>
            <w:tcW w:w="6525" w:type="dxa"/>
            <w:shd w:val="clear" w:color="auto" w:fill="auto"/>
            <w:hideMark/>
          </w:tcPr>
          <w:p w14:paraId="2F3111FB" w14:textId="0413E746"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Agenția de Mediu a fost susținută în efortul de implementare a Sistemului Național de Inventariere (SIN), inclusiv prin gestionarea sistemului de colectare și administrare a datelor privind activitatea, utilizate în procesul de inventariere a emisiilor de gaze cu efect de seră pentru perioada 1990-2022, în acest sens, au fost chestionate în conformitatea cu prevederile Hotărârii Guvernului nr. 1277/2018 cu privire la instituirea și funcționarea Sistemului național de monitorizare și raportare (SNMR) a emisiilor de gaze cu efect de seră și altor informații relevan</w:t>
            </w:r>
            <w:r w:rsidR="00937E3D">
              <w:rPr>
                <w:rFonts w:ascii="Times New Roman" w:eastAsia="Times New Roman" w:hAnsi="Times New Roman" w:cs="Times New Roman"/>
                <w:color w:val="000000"/>
                <w:sz w:val="20"/>
                <w:szCs w:val="20"/>
                <w:lang w:val="ro-MD"/>
              </w:rPr>
              <w:t>te pentru schimbările climatice</w:t>
            </w:r>
            <w:r w:rsidRPr="00483DC7">
              <w:rPr>
                <w:rFonts w:ascii="Times New Roman" w:eastAsia="Times New Roman" w:hAnsi="Times New Roman" w:cs="Times New Roman"/>
                <w:color w:val="000000"/>
                <w:sz w:val="20"/>
                <w:szCs w:val="20"/>
                <w:lang w:val="ro-MD"/>
              </w:rPr>
              <w:t>; Monitorizarea, Raportarea și Verificarea (MRV) emisiilor de gaze cu efect de seră (GES) este realizată în conformitate cu cerințele stipulate în HG 1277/2018 în vederea respectării obligațiunilor internaționale ale Republicii Moldova în cadrul Convenției-cadru a Organizației Națiunilor Unite cu privire la schimbarea climei (CONUSC) și Acordului de la Paris ; Inventarul național de gaze cu efect de seră compilat la nivel național și sectorial: sectorul 1 ”Energie”, sectorul 2 ”Procesele industriale și utilizarea produselor”, sectorul 3 ”Agricultură”, sectorul 4 ”Folosința terenurilor, schimbarea categoriilor de folosință a terenurilor și silvicultura”, sectorul 5 ”Deșeuri” pentru perioada 1990-2021 compilat către 30 septembrie 2023 compilat și prezentat la Agenția de Mediu, disponibil în format MS Excel pe  https://am.gov.md/ro/node/421; Raportul Național de Inventariere pentru perioada 1990-2022; Tabelele comune de raportare (CRT) cu rezultatele inventarului național de gaze cu efect de seră pentru perioada 1990-2022 ; Organizarea evenimentelor în vederea consultării părților interesate, compilarea, publicarea și raportarea către Secretariatul CONUSC a primului Raport Bienal de Transparență a Republicii Moldova  completate .</w:t>
            </w:r>
          </w:p>
        </w:tc>
      </w:tr>
      <w:tr w:rsidR="00E653AF" w:rsidRPr="00483DC7" w14:paraId="5DC9CBC1" w14:textId="77777777" w:rsidTr="003B63AA">
        <w:trPr>
          <w:trHeight w:val="70"/>
        </w:trPr>
        <w:tc>
          <w:tcPr>
            <w:tcW w:w="1294" w:type="dxa"/>
            <w:shd w:val="clear" w:color="000000" w:fill="2F75B5"/>
            <w:noWrap/>
            <w:vAlign w:val="center"/>
            <w:hideMark/>
          </w:tcPr>
          <w:p w14:paraId="6D742AA1"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1C94519C"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010B8F8A"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338E47A6"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745F6CB7"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hideMark/>
          </w:tcPr>
          <w:p w14:paraId="0BDAA3C7"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60824CED" w14:textId="77777777" w:rsidTr="003B63AA">
        <w:trPr>
          <w:trHeight w:val="1200"/>
        </w:trPr>
        <w:tc>
          <w:tcPr>
            <w:tcW w:w="1294" w:type="dxa"/>
            <w:shd w:val="clear" w:color="auto" w:fill="auto"/>
            <w:noWrap/>
            <w:vAlign w:val="center"/>
            <w:hideMark/>
          </w:tcPr>
          <w:p w14:paraId="219A8960"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Energie</w:t>
            </w:r>
          </w:p>
        </w:tc>
        <w:tc>
          <w:tcPr>
            <w:tcW w:w="1383" w:type="dxa"/>
            <w:shd w:val="clear" w:color="auto" w:fill="auto"/>
            <w:vAlign w:val="center"/>
            <w:hideMark/>
          </w:tcPr>
          <w:p w14:paraId="4094EEAF" w14:textId="1F87D2F1" w:rsidR="00E653AF" w:rsidRPr="00483DC7" w:rsidRDefault="00483DC7"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UCI</w:t>
            </w:r>
            <w:r w:rsidR="00E653AF" w:rsidRPr="00483DC7">
              <w:rPr>
                <w:rFonts w:ascii="Times New Roman" w:eastAsia="Times New Roman" w:hAnsi="Times New Roman" w:cs="Times New Roman"/>
                <w:color w:val="000000"/>
                <w:sz w:val="20"/>
                <w:szCs w:val="20"/>
                <w:lang w:val="ro-MD"/>
              </w:rPr>
              <w:t>PE</w:t>
            </w:r>
          </w:p>
        </w:tc>
        <w:tc>
          <w:tcPr>
            <w:tcW w:w="1936" w:type="dxa"/>
            <w:shd w:val="clear" w:color="auto" w:fill="auto"/>
            <w:vAlign w:val="center"/>
            <w:hideMark/>
          </w:tcPr>
          <w:p w14:paraId="2C957C01" w14:textId="4B7F47E7"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10. </w:t>
            </w:r>
            <w:r w:rsidR="00E653AF" w:rsidRPr="00483DC7">
              <w:rPr>
                <w:rFonts w:ascii="Times New Roman" w:eastAsia="Times New Roman" w:hAnsi="Times New Roman" w:cs="Times New Roman"/>
                <w:i/>
                <w:iCs/>
                <w:color w:val="000000"/>
                <w:sz w:val="20"/>
                <w:szCs w:val="20"/>
                <w:lang w:val="ro-MD"/>
              </w:rPr>
              <w:t>Proiectul de Dezvoltare a Sistemului Electroenergetic (PDSE)</w:t>
            </w:r>
          </w:p>
        </w:tc>
        <w:tc>
          <w:tcPr>
            <w:tcW w:w="1476" w:type="dxa"/>
            <w:shd w:val="clear" w:color="auto" w:fill="auto"/>
            <w:vAlign w:val="center"/>
            <w:hideMark/>
          </w:tcPr>
          <w:p w14:paraId="7DC2F053" w14:textId="4B4252F0"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176</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275,90</w:t>
            </w:r>
          </w:p>
        </w:tc>
        <w:tc>
          <w:tcPr>
            <w:tcW w:w="1703" w:type="dxa"/>
            <w:shd w:val="clear" w:color="auto" w:fill="auto"/>
            <w:noWrap/>
            <w:vAlign w:val="center"/>
            <w:hideMark/>
          </w:tcPr>
          <w:p w14:paraId="3A8AA8AC"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239.723,40</w:t>
            </w:r>
          </w:p>
        </w:tc>
        <w:tc>
          <w:tcPr>
            <w:tcW w:w="6525" w:type="dxa"/>
            <w:shd w:val="clear" w:color="auto" w:fill="auto"/>
            <w:hideMark/>
          </w:tcPr>
          <w:p w14:paraId="7475A686" w14:textId="676BB8B0" w:rsidR="00E653AF" w:rsidRPr="00483DC7" w:rsidRDefault="00937E3D" w:rsidP="00E653AF">
            <w:pPr>
              <w:spacing w:after="0" w:line="240" w:lineRule="auto"/>
              <w:jc w:val="both"/>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R</w:t>
            </w:r>
            <w:r w:rsidR="00E653AF" w:rsidRPr="00483DC7">
              <w:rPr>
                <w:rFonts w:ascii="Times New Roman" w:eastAsia="Times New Roman" w:hAnsi="Times New Roman" w:cs="Times New Roman"/>
                <w:color w:val="000000"/>
                <w:sz w:val="20"/>
                <w:szCs w:val="20"/>
                <w:lang w:val="ro-MD"/>
              </w:rPr>
              <w:t>ealizarea cer</w:t>
            </w:r>
            <w:r w:rsidR="00483DC7" w:rsidRPr="00483DC7">
              <w:rPr>
                <w:rFonts w:ascii="Times New Roman" w:eastAsia="Times New Roman" w:hAnsi="Times New Roman" w:cs="Times New Roman"/>
                <w:color w:val="000000"/>
                <w:sz w:val="20"/>
                <w:szCs w:val="20"/>
                <w:lang w:val="ro-MD"/>
              </w:rPr>
              <w:t>ce</w:t>
            </w:r>
            <w:r w:rsidR="00E653AF" w:rsidRPr="00483DC7">
              <w:rPr>
                <w:rFonts w:ascii="Times New Roman" w:eastAsia="Times New Roman" w:hAnsi="Times New Roman" w:cs="Times New Roman"/>
                <w:color w:val="000000"/>
                <w:sz w:val="20"/>
                <w:szCs w:val="20"/>
                <w:lang w:val="ro-MD"/>
              </w:rPr>
              <w:t xml:space="preserve">tărilor geologice, elaborarea documentației tehnice; desfășurarea testărilor pentru cel mai mare tip de piloni și realizarea testărilor pentru fundațiile pilonilor; obținerea autorizațiilor de construire </w:t>
            </w:r>
            <w:r w:rsidR="00483DC7" w:rsidRPr="00483DC7">
              <w:rPr>
                <w:rFonts w:ascii="Times New Roman" w:eastAsia="Times New Roman" w:hAnsi="Times New Roman" w:cs="Times New Roman"/>
                <w:color w:val="000000"/>
                <w:sz w:val="20"/>
                <w:szCs w:val="20"/>
                <w:lang w:val="ro-MD"/>
              </w:rPr>
              <w:t>a liniei aeriene Vulcănești-Chiș</w:t>
            </w:r>
            <w:r w:rsidR="00E653AF" w:rsidRPr="00483DC7">
              <w:rPr>
                <w:rFonts w:ascii="Times New Roman" w:eastAsia="Times New Roman" w:hAnsi="Times New Roman" w:cs="Times New Roman"/>
                <w:color w:val="000000"/>
                <w:sz w:val="20"/>
                <w:szCs w:val="20"/>
                <w:lang w:val="ro-MD"/>
              </w:rPr>
              <w:t>inău în 6 raioane; elaborarea studiilor de mediu și demararea lucrărilor pe</w:t>
            </w:r>
            <w:r w:rsidR="00483DC7" w:rsidRPr="00483DC7">
              <w:rPr>
                <w:rFonts w:ascii="Times New Roman" w:eastAsia="Times New Roman" w:hAnsi="Times New Roman" w:cs="Times New Roman"/>
                <w:color w:val="000000"/>
                <w:sz w:val="20"/>
                <w:szCs w:val="20"/>
                <w:lang w:val="ro-MD"/>
              </w:rPr>
              <w:t>n</w:t>
            </w:r>
            <w:r w:rsidR="00E653AF" w:rsidRPr="00483DC7">
              <w:rPr>
                <w:rFonts w:ascii="Times New Roman" w:eastAsia="Times New Roman" w:hAnsi="Times New Roman" w:cs="Times New Roman"/>
                <w:color w:val="000000"/>
                <w:sz w:val="20"/>
                <w:szCs w:val="20"/>
                <w:lang w:val="ro-MD"/>
              </w:rPr>
              <w:t>tru pregătirea terenurilor în care vor fi amplasată Linia electrică aeriană.</w:t>
            </w:r>
            <w:r w:rsidR="001F7786">
              <w:rPr>
                <w:rFonts w:ascii="Times New Roman" w:eastAsia="Times New Roman" w:hAnsi="Times New Roman" w:cs="Times New Roman"/>
                <w:color w:val="000000"/>
                <w:sz w:val="20"/>
                <w:szCs w:val="20"/>
                <w:lang w:val="ro-MD"/>
              </w:rPr>
              <w:t xml:space="preserve"> Aprobarea Hotărârii de Guvern nr. 1037/2023 cu privire la exproprierea pentru cauză de utilitate publică a bunurilor imobile și a dreptului de folosință asupra bunurilor imobile situate pe amplasamentul </w:t>
            </w:r>
            <w:r w:rsidR="000E7B43">
              <w:rPr>
                <w:rFonts w:ascii="Times New Roman" w:eastAsia="Times New Roman" w:hAnsi="Times New Roman" w:cs="Times New Roman"/>
                <w:color w:val="000000"/>
                <w:sz w:val="20"/>
                <w:szCs w:val="20"/>
                <w:lang w:val="ro-MD"/>
              </w:rPr>
              <w:t xml:space="preserve">lucrărilor de interes național de construcție a liniei electrice aeriene (LEA) 400kv de transport al energiei electrice Vulcănești-Chișinău. </w:t>
            </w:r>
          </w:p>
        </w:tc>
      </w:tr>
      <w:tr w:rsidR="00E653AF" w:rsidRPr="00483DC7" w14:paraId="25E2CC09" w14:textId="77777777" w:rsidTr="003B63AA">
        <w:trPr>
          <w:trHeight w:val="600"/>
        </w:trPr>
        <w:tc>
          <w:tcPr>
            <w:tcW w:w="1294" w:type="dxa"/>
            <w:shd w:val="clear" w:color="auto" w:fill="auto"/>
            <w:noWrap/>
            <w:vAlign w:val="center"/>
            <w:hideMark/>
          </w:tcPr>
          <w:p w14:paraId="01CE0FD2"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59419818"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4474C263" w14:textId="2F0FDFFB"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11. </w:t>
            </w:r>
            <w:r w:rsidR="00E653AF" w:rsidRPr="00483DC7">
              <w:rPr>
                <w:rFonts w:ascii="Times New Roman" w:eastAsia="Times New Roman" w:hAnsi="Times New Roman" w:cs="Times New Roman"/>
                <w:i/>
                <w:iCs/>
                <w:color w:val="000000"/>
                <w:sz w:val="20"/>
                <w:szCs w:val="20"/>
                <w:lang w:val="ro-MD"/>
              </w:rPr>
              <w:t>Proiectul ,,Eficiența Energetică în Republica Moldova” (PEEM)</w:t>
            </w:r>
          </w:p>
        </w:tc>
        <w:tc>
          <w:tcPr>
            <w:tcW w:w="1476" w:type="dxa"/>
            <w:shd w:val="clear" w:color="auto" w:fill="auto"/>
            <w:vAlign w:val="center"/>
            <w:hideMark/>
          </w:tcPr>
          <w:p w14:paraId="4E522F7F" w14:textId="4FBE200E"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119,70</w:t>
            </w:r>
          </w:p>
        </w:tc>
        <w:tc>
          <w:tcPr>
            <w:tcW w:w="1703" w:type="dxa"/>
            <w:shd w:val="clear" w:color="auto" w:fill="auto"/>
            <w:noWrap/>
            <w:vAlign w:val="center"/>
            <w:hideMark/>
          </w:tcPr>
          <w:p w14:paraId="41F50BAE"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4.119,70</w:t>
            </w:r>
          </w:p>
        </w:tc>
        <w:tc>
          <w:tcPr>
            <w:tcW w:w="6525" w:type="dxa"/>
            <w:shd w:val="clear" w:color="auto" w:fill="auto"/>
            <w:hideMark/>
          </w:tcPr>
          <w:p w14:paraId="027077D9" w14:textId="23F9F5A1" w:rsidR="000E7B43" w:rsidRDefault="00E653AF" w:rsidP="000E7B43">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Proiectul a fost</w:t>
            </w:r>
            <w:r w:rsidR="00483DC7" w:rsidRPr="00483DC7">
              <w:rPr>
                <w:rFonts w:ascii="Times New Roman" w:eastAsia="Times New Roman" w:hAnsi="Times New Roman" w:cs="Times New Roman"/>
                <w:color w:val="000000"/>
                <w:sz w:val="20"/>
                <w:szCs w:val="20"/>
                <w:lang w:val="ro-MD"/>
              </w:rPr>
              <w:t xml:space="preserve"> inițiat în </w:t>
            </w:r>
            <w:r w:rsidR="000E7B43">
              <w:rPr>
                <w:rFonts w:ascii="Times New Roman" w:eastAsia="Times New Roman" w:hAnsi="Times New Roman" w:cs="Times New Roman"/>
                <w:color w:val="000000"/>
                <w:sz w:val="20"/>
                <w:szCs w:val="20"/>
                <w:lang w:val="ro-MD"/>
              </w:rPr>
              <w:t>iunie</w:t>
            </w:r>
            <w:r w:rsidR="00483DC7" w:rsidRPr="00483DC7">
              <w:rPr>
                <w:rFonts w:ascii="Times New Roman" w:eastAsia="Times New Roman" w:hAnsi="Times New Roman" w:cs="Times New Roman"/>
                <w:color w:val="000000"/>
                <w:sz w:val="20"/>
                <w:szCs w:val="20"/>
                <w:lang w:val="ro-MD"/>
              </w:rPr>
              <w:t xml:space="preserve"> 2022, </w:t>
            </w:r>
            <w:r w:rsidR="000E7B43">
              <w:rPr>
                <w:rFonts w:ascii="Times New Roman" w:eastAsia="Times New Roman" w:hAnsi="Times New Roman" w:cs="Times New Roman"/>
                <w:color w:val="000000"/>
                <w:sz w:val="20"/>
                <w:szCs w:val="20"/>
                <w:lang w:val="ro-MD"/>
              </w:rPr>
              <w:t>iar echipa de implementare a fost înființată prin Ordinul Ministerului Infrastructurii și Dezvoltării Regionale nr.139 din 09.08.2022, în perioada 2022- 2023, au fost elaborate și aprobate documentele de proiect: Studiu de Fezabilitate al Proiec</w:t>
            </w:r>
            <w:r w:rsidR="009241C5">
              <w:rPr>
                <w:rFonts w:ascii="Times New Roman" w:eastAsia="Times New Roman" w:hAnsi="Times New Roman" w:cs="Times New Roman"/>
                <w:color w:val="000000"/>
                <w:sz w:val="20"/>
                <w:szCs w:val="20"/>
                <w:lang w:val="ro-MD"/>
              </w:rPr>
              <w:t>tului; Rapoartele de audit energetic pentru 16 clădiri ale celor zece instituții medicale; Manualul de Proceduri al Proiectului (MPP); Termenii de referință pentru platforma online de gestionare a propunerilor de proiect; și Conceptul detaliat privind dezvoltarea Sistemului Național de Informații privind Performanța Energetică a Clădirilor (NEPBIS).</w:t>
            </w:r>
          </w:p>
          <w:p w14:paraId="70CDE54E" w14:textId="363DC1BA" w:rsidR="00E653AF" w:rsidRPr="003B63AA" w:rsidRDefault="003B63AA" w:rsidP="003B63AA">
            <w:pPr>
              <w:spacing w:after="0" w:line="240" w:lineRule="auto"/>
              <w:ind w:firstLine="314"/>
              <w:jc w:val="both"/>
              <w:rPr>
                <w:rFonts w:ascii="Times New Roman" w:eastAsia="Times New Roman" w:hAnsi="Times New Roman" w:cs="Times New Roman"/>
                <w:color w:val="000000"/>
                <w:sz w:val="20"/>
                <w:szCs w:val="20"/>
                <w:lang w:val="ro-MD"/>
              </w:rPr>
            </w:pPr>
            <w:r w:rsidRPr="003B63AA">
              <w:rPr>
                <w:rFonts w:ascii="Times New Roman" w:eastAsia="Times New Roman" w:hAnsi="Times New Roman" w:cs="Times New Roman"/>
                <w:color w:val="000000"/>
                <w:sz w:val="20"/>
                <w:szCs w:val="20"/>
                <w:lang w:val="ro-MD"/>
              </w:rPr>
              <w:t>Adițional, în trimestru IV a anului 2023 au fost elaborate și prezentate spre aprobare către donator, documentele de licitație, inclusiv caietele de sarcini pentru contractarea serviciilor de elaborare a documentației tehnice de execuție, inclusiv supravegherea de autor pentru 5 instituții medicale (runda I).</w:t>
            </w:r>
          </w:p>
        </w:tc>
      </w:tr>
      <w:tr w:rsidR="00E653AF" w:rsidRPr="00483DC7" w14:paraId="232620E4" w14:textId="77777777" w:rsidTr="003B63AA">
        <w:trPr>
          <w:trHeight w:val="1364"/>
        </w:trPr>
        <w:tc>
          <w:tcPr>
            <w:tcW w:w="1294" w:type="dxa"/>
            <w:shd w:val="clear" w:color="auto" w:fill="auto"/>
            <w:noWrap/>
            <w:vAlign w:val="center"/>
            <w:hideMark/>
          </w:tcPr>
          <w:p w14:paraId="08BA41ED"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6C7FCD9A"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7DFF8919" w14:textId="256B3628"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12. </w:t>
            </w:r>
            <w:r w:rsidR="00E653AF" w:rsidRPr="00483DC7">
              <w:rPr>
                <w:rFonts w:ascii="Times New Roman" w:eastAsia="Times New Roman" w:hAnsi="Times New Roman" w:cs="Times New Roman"/>
                <w:i/>
                <w:iCs/>
                <w:color w:val="000000"/>
                <w:sz w:val="20"/>
                <w:szCs w:val="20"/>
                <w:lang w:val="ro-MD"/>
              </w:rPr>
              <w:t>Al doilea proiect de îmbunătățire a eficienței</w:t>
            </w:r>
            <w:r w:rsidR="00E653AF" w:rsidRPr="00483DC7">
              <w:rPr>
                <w:rFonts w:ascii="Times New Roman" w:eastAsia="Times New Roman" w:hAnsi="Times New Roman" w:cs="Times New Roman"/>
                <w:i/>
                <w:iCs/>
                <w:color w:val="000000"/>
                <w:sz w:val="20"/>
                <w:szCs w:val="20"/>
                <w:lang w:val="ro-MD"/>
              </w:rPr>
              <w:br/>
              <w:t>Sistemului de alimentare centralizată cu energie termică (PIESACET-2)</w:t>
            </w:r>
          </w:p>
        </w:tc>
        <w:tc>
          <w:tcPr>
            <w:tcW w:w="1476" w:type="dxa"/>
            <w:shd w:val="clear" w:color="auto" w:fill="auto"/>
            <w:vAlign w:val="center"/>
            <w:hideMark/>
          </w:tcPr>
          <w:p w14:paraId="4F3B8389" w14:textId="6EBD5743"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12</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464,50</w:t>
            </w:r>
          </w:p>
        </w:tc>
        <w:tc>
          <w:tcPr>
            <w:tcW w:w="1703" w:type="dxa"/>
            <w:shd w:val="clear" w:color="auto" w:fill="auto"/>
            <w:noWrap/>
            <w:vAlign w:val="center"/>
            <w:hideMark/>
          </w:tcPr>
          <w:p w14:paraId="3931F78F"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13.761,10</w:t>
            </w:r>
          </w:p>
        </w:tc>
        <w:tc>
          <w:tcPr>
            <w:tcW w:w="6525" w:type="dxa"/>
            <w:shd w:val="clear" w:color="auto" w:fill="auto"/>
            <w:hideMark/>
          </w:tcPr>
          <w:p w14:paraId="4CF30C27"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Elaborarea Specificațiilor Tehnice (echipele TE și UCIPE cu suportul echipei tehnice BM), Elaborarea Termenilor de Referință, aprobarea TOR de către Finanțator, lansarea procedurii de licitație; elaborarea Specificațiilor Tehnice și Documentului de Achiziție (echipele TE și UCIPE cu suportul echipei tehnice BM). Lansarea procedurii de licitație; Elaborarea Documentului de Achiziție și lansarea procedurii de licitație. Semnarea contractului de proiectare, furnizare și instalare cu perioada de implementare 20 decembrie 2023 – 20 decembrie 2024; coordonarea echipamentului de bază.</w:t>
            </w:r>
          </w:p>
        </w:tc>
      </w:tr>
      <w:tr w:rsidR="00E653AF" w:rsidRPr="00483DC7" w14:paraId="30D02A31" w14:textId="77777777" w:rsidTr="003B63AA">
        <w:trPr>
          <w:trHeight w:val="900"/>
        </w:trPr>
        <w:tc>
          <w:tcPr>
            <w:tcW w:w="1294" w:type="dxa"/>
            <w:shd w:val="clear" w:color="auto" w:fill="auto"/>
            <w:noWrap/>
            <w:vAlign w:val="center"/>
            <w:hideMark/>
          </w:tcPr>
          <w:p w14:paraId="08C893D0"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11DB42E5"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23A204BD" w14:textId="70E01B70"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13. </w:t>
            </w:r>
            <w:r w:rsidR="00E653AF" w:rsidRPr="00483DC7">
              <w:rPr>
                <w:rFonts w:ascii="Times New Roman" w:eastAsia="Times New Roman" w:hAnsi="Times New Roman" w:cs="Times New Roman"/>
                <w:i/>
                <w:iCs/>
                <w:color w:val="000000"/>
                <w:sz w:val="20"/>
                <w:szCs w:val="20"/>
                <w:lang w:val="ro-MD"/>
              </w:rPr>
              <w:t>Construcția conductei de transport gaze naturale pe direcția Ungheni-Chișinău</w:t>
            </w:r>
          </w:p>
        </w:tc>
        <w:tc>
          <w:tcPr>
            <w:tcW w:w="1476" w:type="dxa"/>
            <w:shd w:val="clear" w:color="auto" w:fill="auto"/>
            <w:vAlign w:val="center"/>
            <w:hideMark/>
          </w:tcPr>
          <w:p w14:paraId="199C8D52"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333,51</w:t>
            </w:r>
          </w:p>
        </w:tc>
        <w:tc>
          <w:tcPr>
            <w:tcW w:w="1703" w:type="dxa"/>
            <w:shd w:val="clear" w:color="auto" w:fill="auto"/>
            <w:noWrap/>
            <w:vAlign w:val="center"/>
            <w:hideMark/>
          </w:tcPr>
          <w:p w14:paraId="25E64148"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18.621,50</w:t>
            </w:r>
          </w:p>
        </w:tc>
        <w:tc>
          <w:tcPr>
            <w:tcW w:w="6525" w:type="dxa"/>
            <w:shd w:val="clear" w:color="auto" w:fill="auto"/>
            <w:vAlign w:val="bottom"/>
            <w:hideMark/>
          </w:tcPr>
          <w:p w14:paraId="0D632D5E" w14:textId="442A34A2"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Bunuri imobile (terenuri) expropriate: 3200 (100%); Cereri recepționate privind plata despăgubirilor: 1718; Despăgubiri achitate din sursele VMTG (31/12/2021): 9,174,3 mii lei; Despăgubiri achitate din contribuția Guvernului RM: 358.0 mii lei (100% din valoarea totala a cererilor </w:t>
            </w:r>
            <w:r w:rsidR="00483DC7" w:rsidRPr="00483DC7">
              <w:rPr>
                <w:rFonts w:ascii="Times New Roman" w:eastAsia="Times New Roman" w:hAnsi="Times New Roman" w:cs="Times New Roman"/>
                <w:color w:val="000000"/>
                <w:sz w:val="20"/>
                <w:szCs w:val="20"/>
                <w:lang w:val="ro-MD"/>
              </w:rPr>
              <w:t>recepț</w:t>
            </w:r>
            <w:r w:rsidRPr="00483DC7">
              <w:rPr>
                <w:rFonts w:ascii="Times New Roman" w:eastAsia="Times New Roman" w:hAnsi="Times New Roman" w:cs="Times New Roman"/>
                <w:color w:val="000000"/>
                <w:sz w:val="20"/>
                <w:szCs w:val="20"/>
                <w:lang w:val="ro-MD"/>
              </w:rPr>
              <w:t>ionate privind plata despăgubirilor pentru exproprierea permanenta a terenurilor;</w:t>
            </w:r>
          </w:p>
        </w:tc>
      </w:tr>
      <w:tr w:rsidR="00E653AF" w:rsidRPr="00483DC7" w14:paraId="22E47DA3" w14:textId="77777777" w:rsidTr="003B63AA">
        <w:trPr>
          <w:trHeight w:val="70"/>
        </w:trPr>
        <w:tc>
          <w:tcPr>
            <w:tcW w:w="1294" w:type="dxa"/>
            <w:shd w:val="clear" w:color="000000" w:fill="2F75B5"/>
            <w:noWrap/>
            <w:vAlign w:val="center"/>
            <w:hideMark/>
          </w:tcPr>
          <w:p w14:paraId="3CEF78BC"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49F7A375"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3C468D35"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79A3EB97"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2091E8AF"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vAlign w:val="bottom"/>
            <w:hideMark/>
          </w:tcPr>
          <w:p w14:paraId="1898398C"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0CD1F57A" w14:textId="77777777" w:rsidTr="003B63AA">
        <w:trPr>
          <w:trHeight w:val="560"/>
        </w:trPr>
        <w:tc>
          <w:tcPr>
            <w:tcW w:w="1294" w:type="dxa"/>
            <w:shd w:val="clear" w:color="auto" w:fill="auto"/>
            <w:vAlign w:val="center"/>
            <w:hideMark/>
          </w:tcPr>
          <w:p w14:paraId="32B49E86" w14:textId="6558BD31"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Dezvoltare Regională, infras</w:t>
            </w:r>
            <w:r w:rsidR="00483DC7" w:rsidRPr="00483DC7">
              <w:rPr>
                <w:rFonts w:ascii="Times New Roman" w:eastAsia="Times New Roman" w:hAnsi="Times New Roman" w:cs="Times New Roman"/>
                <w:color w:val="000000"/>
                <w:sz w:val="20"/>
                <w:szCs w:val="20"/>
                <w:lang w:val="ro-MD"/>
              </w:rPr>
              <w:t>t</w:t>
            </w:r>
            <w:r w:rsidRPr="00483DC7">
              <w:rPr>
                <w:rFonts w:ascii="Times New Roman" w:eastAsia="Times New Roman" w:hAnsi="Times New Roman" w:cs="Times New Roman"/>
                <w:color w:val="000000"/>
                <w:sz w:val="20"/>
                <w:szCs w:val="20"/>
                <w:lang w:val="ro-MD"/>
              </w:rPr>
              <w:t>ructură</w:t>
            </w:r>
          </w:p>
        </w:tc>
        <w:tc>
          <w:tcPr>
            <w:tcW w:w="1383" w:type="dxa"/>
            <w:shd w:val="clear" w:color="auto" w:fill="auto"/>
            <w:vAlign w:val="center"/>
            <w:hideMark/>
          </w:tcPr>
          <w:p w14:paraId="56323905" w14:textId="17B6A044" w:rsidR="00E653AF" w:rsidRPr="00483DC7" w:rsidRDefault="00483DC7"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ONDRL</w:t>
            </w:r>
          </w:p>
        </w:tc>
        <w:tc>
          <w:tcPr>
            <w:tcW w:w="1936" w:type="dxa"/>
            <w:shd w:val="clear" w:color="auto" w:fill="auto"/>
            <w:vAlign w:val="center"/>
            <w:hideMark/>
          </w:tcPr>
          <w:p w14:paraId="5FC25373" w14:textId="57303971" w:rsidR="00E653AF" w:rsidRPr="00483DC7" w:rsidRDefault="000C0BCA" w:rsidP="00483DC7">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14. </w:t>
            </w:r>
            <w:r w:rsidR="00E653AF" w:rsidRPr="00483DC7">
              <w:rPr>
                <w:rFonts w:ascii="Times New Roman" w:eastAsia="Times New Roman" w:hAnsi="Times New Roman" w:cs="Times New Roman"/>
                <w:i/>
                <w:iCs/>
                <w:color w:val="000000"/>
                <w:sz w:val="20"/>
                <w:szCs w:val="20"/>
                <w:lang w:val="ro-MD"/>
              </w:rPr>
              <w:t>Securitatea Aprovizion</w:t>
            </w:r>
            <w:r w:rsidR="00483DC7" w:rsidRPr="00483DC7">
              <w:rPr>
                <w:rFonts w:ascii="Times New Roman" w:eastAsia="Times New Roman" w:hAnsi="Times New Roman" w:cs="Times New Roman"/>
                <w:i/>
                <w:iCs/>
                <w:color w:val="000000"/>
                <w:sz w:val="20"/>
                <w:szCs w:val="20"/>
                <w:lang w:val="ro-MD"/>
              </w:rPr>
              <w:t>ării cu Apa si Sanitație î</w:t>
            </w:r>
            <w:r w:rsidR="00E653AF" w:rsidRPr="00483DC7">
              <w:rPr>
                <w:rFonts w:ascii="Times New Roman" w:eastAsia="Times New Roman" w:hAnsi="Times New Roman" w:cs="Times New Roman"/>
                <w:i/>
                <w:iCs/>
                <w:color w:val="000000"/>
                <w:sz w:val="20"/>
                <w:szCs w:val="20"/>
                <w:lang w:val="ro-MD"/>
              </w:rPr>
              <w:t>n Moldova</w:t>
            </w:r>
          </w:p>
        </w:tc>
        <w:tc>
          <w:tcPr>
            <w:tcW w:w="1476" w:type="dxa"/>
            <w:shd w:val="clear" w:color="auto" w:fill="auto"/>
            <w:vAlign w:val="center"/>
            <w:hideMark/>
          </w:tcPr>
          <w:p w14:paraId="3D084C6D" w14:textId="704DDBB8"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031,10</w:t>
            </w:r>
          </w:p>
        </w:tc>
        <w:tc>
          <w:tcPr>
            <w:tcW w:w="1703" w:type="dxa"/>
            <w:shd w:val="clear" w:color="auto" w:fill="auto"/>
            <w:noWrap/>
            <w:vAlign w:val="center"/>
            <w:hideMark/>
          </w:tcPr>
          <w:p w14:paraId="0268CFC9"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1.031,10</w:t>
            </w:r>
          </w:p>
        </w:tc>
        <w:tc>
          <w:tcPr>
            <w:tcW w:w="6525" w:type="dxa"/>
            <w:shd w:val="clear" w:color="auto" w:fill="auto"/>
            <w:hideMark/>
          </w:tcPr>
          <w:p w14:paraId="09F811DD" w14:textId="242ED5BC"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Proiectul a fost inițiat la începutul anului 2023, echipa proiectului desfășurând activități de elaborare documentelor de proiect</w:t>
            </w:r>
            <w:r w:rsidR="00937E3D">
              <w:rPr>
                <w:rFonts w:ascii="Times New Roman" w:eastAsia="Times New Roman" w:hAnsi="Times New Roman" w:cs="Times New Roman"/>
                <w:color w:val="000000"/>
                <w:sz w:val="20"/>
                <w:szCs w:val="20"/>
                <w:lang w:val="ro-MD"/>
              </w:rPr>
              <w:t>.</w:t>
            </w:r>
          </w:p>
        </w:tc>
      </w:tr>
      <w:tr w:rsidR="00E653AF" w:rsidRPr="00483DC7" w14:paraId="78D8F08C" w14:textId="77777777" w:rsidTr="003B63AA">
        <w:trPr>
          <w:trHeight w:val="80"/>
        </w:trPr>
        <w:tc>
          <w:tcPr>
            <w:tcW w:w="1294" w:type="dxa"/>
            <w:shd w:val="clear" w:color="auto" w:fill="auto"/>
            <w:vAlign w:val="center"/>
            <w:hideMark/>
          </w:tcPr>
          <w:p w14:paraId="115A828D"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584F093A" w14:textId="65413DEE"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936" w:type="dxa"/>
            <w:shd w:val="clear" w:color="auto" w:fill="auto"/>
            <w:vAlign w:val="center"/>
            <w:hideMark/>
          </w:tcPr>
          <w:p w14:paraId="6B21E423" w14:textId="0DE57B99"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15. </w:t>
            </w:r>
            <w:r w:rsidR="00E653AF" w:rsidRPr="00483DC7">
              <w:rPr>
                <w:rFonts w:ascii="Times New Roman" w:eastAsia="Times New Roman" w:hAnsi="Times New Roman" w:cs="Times New Roman"/>
                <w:i/>
                <w:iCs/>
                <w:color w:val="000000"/>
                <w:sz w:val="20"/>
                <w:szCs w:val="20"/>
                <w:lang w:val="ro-MD"/>
              </w:rPr>
              <w:t>Proiectul „Îmbunătățirea Calității Educației”</w:t>
            </w:r>
          </w:p>
        </w:tc>
        <w:tc>
          <w:tcPr>
            <w:tcW w:w="1476" w:type="dxa"/>
            <w:shd w:val="clear" w:color="auto" w:fill="auto"/>
            <w:vAlign w:val="center"/>
            <w:hideMark/>
          </w:tcPr>
          <w:p w14:paraId="0E3A0C67"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703" w:type="dxa"/>
            <w:shd w:val="clear" w:color="auto" w:fill="auto"/>
            <w:noWrap/>
            <w:vAlign w:val="center"/>
            <w:hideMark/>
          </w:tcPr>
          <w:p w14:paraId="63FA7E4B"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6525" w:type="dxa"/>
            <w:shd w:val="clear" w:color="auto" w:fill="auto"/>
            <w:hideMark/>
          </w:tcPr>
          <w:p w14:paraId="1BCBE9E6"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nu au fost demarate activități în cadrul proiectului în perioada 2022-2023</w:t>
            </w:r>
          </w:p>
        </w:tc>
      </w:tr>
      <w:tr w:rsidR="00E653AF" w:rsidRPr="00483DC7" w14:paraId="3BF0FB03" w14:textId="77777777" w:rsidTr="003B63AA">
        <w:trPr>
          <w:trHeight w:val="70"/>
        </w:trPr>
        <w:tc>
          <w:tcPr>
            <w:tcW w:w="1294" w:type="dxa"/>
            <w:shd w:val="clear" w:color="auto" w:fill="auto"/>
            <w:vAlign w:val="center"/>
            <w:hideMark/>
          </w:tcPr>
          <w:p w14:paraId="35911C74"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p>
        </w:tc>
        <w:tc>
          <w:tcPr>
            <w:tcW w:w="1383" w:type="dxa"/>
            <w:shd w:val="clear" w:color="000000" w:fill="AEAAAA"/>
            <w:vAlign w:val="center"/>
            <w:hideMark/>
          </w:tcPr>
          <w:p w14:paraId="1AFD4FB5"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AEAAAA"/>
            <w:vAlign w:val="center"/>
            <w:hideMark/>
          </w:tcPr>
          <w:p w14:paraId="02E783C3"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AEAAAA"/>
            <w:vAlign w:val="center"/>
            <w:hideMark/>
          </w:tcPr>
          <w:p w14:paraId="06B67B61"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AEAAAA"/>
            <w:noWrap/>
            <w:vAlign w:val="center"/>
            <w:hideMark/>
          </w:tcPr>
          <w:p w14:paraId="21A7D9D0"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AEAAAA"/>
            <w:hideMark/>
          </w:tcPr>
          <w:p w14:paraId="3F5BB30E"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502DBC3B" w14:textId="77777777" w:rsidTr="003B63AA">
        <w:trPr>
          <w:trHeight w:val="1200"/>
        </w:trPr>
        <w:tc>
          <w:tcPr>
            <w:tcW w:w="1294" w:type="dxa"/>
            <w:shd w:val="clear" w:color="auto" w:fill="auto"/>
            <w:vAlign w:val="center"/>
            <w:hideMark/>
          </w:tcPr>
          <w:p w14:paraId="26DA78DC"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265B5070"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UIPCLPSV II</w:t>
            </w:r>
          </w:p>
        </w:tc>
        <w:tc>
          <w:tcPr>
            <w:tcW w:w="1936" w:type="dxa"/>
            <w:shd w:val="clear" w:color="auto" w:fill="auto"/>
            <w:vAlign w:val="center"/>
            <w:hideMark/>
          </w:tcPr>
          <w:p w14:paraId="18299B3A" w14:textId="1977FA35"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16. </w:t>
            </w:r>
            <w:r w:rsidR="00E653AF" w:rsidRPr="00483DC7">
              <w:rPr>
                <w:rFonts w:ascii="Times New Roman" w:eastAsia="Times New Roman" w:hAnsi="Times New Roman" w:cs="Times New Roman"/>
                <w:i/>
                <w:iCs/>
                <w:color w:val="000000"/>
                <w:sz w:val="20"/>
                <w:szCs w:val="20"/>
                <w:lang w:val="ro-MD"/>
              </w:rPr>
              <w:t>Proiectul de construcție a locuințelor pentru păturile socialmente vulnerabile II</w:t>
            </w:r>
          </w:p>
        </w:tc>
        <w:tc>
          <w:tcPr>
            <w:tcW w:w="1476" w:type="dxa"/>
            <w:shd w:val="clear" w:color="auto" w:fill="auto"/>
            <w:vAlign w:val="center"/>
            <w:hideMark/>
          </w:tcPr>
          <w:p w14:paraId="0F34BEF0" w14:textId="174CE73B"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w:t>
            </w:r>
            <w:r w:rsidR="00A3157A">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459,50</w:t>
            </w:r>
          </w:p>
        </w:tc>
        <w:tc>
          <w:tcPr>
            <w:tcW w:w="1703" w:type="dxa"/>
            <w:shd w:val="clear" w:color="auto" w:fill="auto"/>
            <w:noWrap/>
            <w:vAlign w:val="center"/>
            <w:hideMark/>
          </w:tcPr>
          <w:p w14:paraId="758DBFDF"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45.400,80</w:t>
            </w:r>
          </w:p>
        </w:tc>
        <w:tc>
          <w:tcPr>
            <w:tcW w:w="6525" w:type="dxa"/>
            <w:shd w:val="clear" w:color="auto" w:fill="auto"/>
            <w:hideMark/>
          </w:tcPr>
          <w:p w14:paraId="5A06C12D" w14:textId="6E17DB8B"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556 apartamente finalizate și 121 în proces de execuți</w:t>
            </w:r>
            <w:r w:rsidR="006E1DF2">
              <w:rPr>
                <w:rFonts w:ascii="Times New Roman" w:eastAsia="Times New Roman" w:hAnsi="Times New Roman" w:cs="Times New Roman"/>
                <w:color w:val="000000"/>
                <w:sz w:val="20"/>
                <w:szCs w:val="20"/>
                <w:lang w:val="ro-MD"/>
              </w:rPr>
              <w:t>e, în 14 raioane ale țării (</w:t>
            </w:r>
            <w:r w:rsidR="000C0BCA" w:rsidRPr="00483DC7">
              <w:rPr>
                <w:rFonts w:ascii="Times New Roman" w:eastAsia="Times New Roman" w:hAnsi="Times New Roman" w:cs="Times New Roman"/>
                <w:color w:val="000000"/>
                <w:sz w:val="20"/>
                <w:szCs w:val="20"/>
                <w:lang w:val="ro-MD"/>
              </w:rPr>
              <w:t>Călăraș</w:t>
            </w:r>
            <w:r w:rsidRPr="00483DC7">
              <w:rPr>
                <w:rFonts w:ascii="Times New Roman" w:eastAsia="Times New Roman" w:hAnsi="Times New Roman" w:cs="Times New Roman"/>
                <w:color w:val="000000"/>
                <w:sz w:val="20"/>
                <w:szCs w:val="20"/>
                <w:lang w:val="ro-MD"/>
              </w:rPr>
              <w:t>i – 40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Briceni – 25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w:t>
            </w:r>
            <w:r w:rsidR="000C0BCA" w:rsidRPr="00483DC7">
              <w:rPr>
                <w:rFonts w:ascii="Times New Roman" w:eastAsia="Times New Roman" w:hAnsi="Times New Roman" w:cs="Times New Roman"/>
                <w:color w:val="000000"/>
                <w:sz w:val="20"/>
                <w:szCs w:val="20"/>
                <w:lang w:val="ro-MD"/>
              </w:rPr>
              <w:t>ente; Sângerei</w:t>
            </w:r>
            <w:r w:rsidRPr="00483DC7">
              <w:rPr>
                <w:rFonts w:ascii="Times New Roman" w:eastAsia="Times New Roman" w:hAnsi="Times New Roman" w:cs="Times New Roman"/>
                <w:color w:val="000000"/>
                <w:sz w:val="20"/>
                <w:szCs w:val="20"/>
                <w:lang w:val="ro-MD"/>
              </w:rPr>
              <w:t xml:space="preserve"> – 35 apart</w:t>
            </w:r>
            <w:r w:rsidR="006E1DF2">
              <w:rPr>
                <w:rFonts w:ascii="Times New Roman" w:eastAsia="Times New Roman" w:hAnsi="Times New Roman" w:cs="Times New Roman"/>
                <w:color w:val="000000"/>
                <w:sz w:val="20"/>
                <w:szCs w:val="20"/>
                <w:lang w:val="ro-MD"/>
              </w:rPr>
              <w:t>amente; H</w:t>
            </w:r>
            <w:r w:rsidR="006E1DF2">
              <w:rPr>
                <w:rFonts w:ascii="Times New Roman" w:eastAsia="Times New Roman" w:hAnsi="Times New Roman" w:cs="Times New Roman"/>
                <w:color w:val="000000"/>
                <w:sz w:val="20"/>
                <w:szCs w:val="20"/>
                <w:lang w:val="ro-RO"/>
              </w:rPr>
              <w:t>â</w:t>
            </w:r>
            <w:r w:rsidR="000C0BCA" w:rsidRPr="00483DC7">
              <w:rPr>
                <w:rFonts w:ascii="Times New Roman" w:eastAsia="Times New Roman" w:hAnsi="Times New Roman" w:cs="Times New Roman"/>
                <w:color w:val="000000"/>
                <w:sz w:val="20"/>
                <w:szCs w:val="20"/>
                <w:lang w:val="ro-MD"/>
              </w:rPr>
              <w:t>ncești</w:t>
            </w:r>
            <w:r w:rsidRPr="00483DC7">
              <w:rPr>
                <w:rFonts w:ascii="Times New Roman" w:eastAsia="Times New Roman" w:hAnsi="Times New Roman" w:cs="Times New Roman"/>
                <w:color w:val="000000"/>
                <w:sz w:val="20"/>
                <w:szCs w:val="20"/>
                <w:lang w:val="ro-MD"/>
              </w:rPr>
              <w:t xml:space="preserve"> – 56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Soroca – 72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Leova – 92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Nisporeni – 93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Ialoveni -  31 apart</w:t>
            </w:r>
            <w:r w:rsidR="000C0BCA" w:rsidRPr="00483DC7">
              <w:rPr>
                <w:rFonts w:ascii="Times New Roman" w:eastAsia="Times New Roman" w:hAnsi="Times New Roman" w:cs="Times New Roman"/>
                <w:color w:val="000000"/>
                <w:sz w:val="20"/>
                <w:szCs w:val="20"/>
                <w:lang w:val="ro-MD"/>
              </w:rPr>
              <w:t>amente;  Făleș</w:t>
            </w:r>
            <w:r w:rsidRPr="00483DC7">
              <w:rPr>
                <w:rFonts w:ascii="Times New Roman" w:eastAsia="Times New Roman" w:hAnsi="Times New Roman" w:cs="Times New Roman"/>
                <w:color w:val="000000"/>
                <w:sz w:val="20"/>
                <w:szCs w:val="20"/>
                <w:lang w:val="ro-MD"/>
              </w:rPr>
              <w:t>ti – 40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Glodeni – 30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Cantemir – 10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Cahul – 32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w:t>
            </w:r>
            <w:r w:rsidR="000C0BCA" w:rsidRPr="00483DC7">
              <w:rPr>
                <w:rFonts w:ascii="Times New Roman" w:eastAsia="Times New Roman" w:hAnsi="Times New Roman" w:cs="Times New Roman"/>
                <w:color w:val="000000"/>
                <w:sz w:val="20"/>
                <w:szCs w:val="20"/>
                <w:lang w:val="ro-MD"/>
              </w:rPr>
              <w:t>e; Cimiș</w:t>
            </w:r>
            <w:r w:rsidRPr="00483DC7">
              <w:rPr>
                <w:rFonts w:ascii="Times New Roman" w:eastAsia="Times New Roman" w:hAnsi="Times New Roman" w:cs="Times New Roman"/>
                <w:color w:val="000000"/>
                <w:sz w:val="20"/>
                <w:szCs w:val="20"/>
                <w:lang w:val="ro-MD"/>
              </w:rPr>
              <w:t>lia – 49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mente (în derulare); Rezina – 72 apart</w:t>
            </w:r>
            <w:r w:rsidR="000C0BCA" w:rsidRPr="00483DC7">
              <w:rPr>
                <w:rFonts w:ascii="Times New Roman" w:eastAsia="Times New Roman" w:hAnsi="Times New Roman" w:cs="Times New Roman"/>
                <w:color w:val="000000"/>
                <w:sz w:val="20"/>
                <w:szCs w:val="20"/>
                <w:lang w:val="ro-MD"/>
              </w:rPr>
              <w:t>a</w:t>
            </w:r>
            <w:r w:rsidRPr="00483DC7">
              <w:rPr>
                <w:rFonts w:ascii="Times New Roman" w:eastAsia="Times New Roman" w:hAnsi="Times New Roman" w:cs="Times New Roman"/>
                <w:color w:val="000000"/>
                <w:sz w:val="20"/>
                <w:szCs w:val="20"/>
                <w:lang w:val="ro-MD"/>
              </w:rPr>
              <w:t xml:space="preserve">mente (în derulare); </w:t>
            </w:r>
          </w:p>
        </w:tc>
      </w:tr>
      <w:tr w:rsidR="00E653AF" w:rsidRPr="00483DC7" w14:paraId="605B591D" w14:textId="77777777" w:rsidTr="003B63AA">
        <w:trPr>
          <w:trHeight w:val="600"/>
        </w:trPr>
        <w:tc>
          <w:tcPr>
            <w:tcW w:w="1294" w:type="dxa"/>
            <w:shd w:val="clear" w:color="auto" w:fill="auto"/>
            <w:vAlign w:val="center"/>
            <w:hideMark/>
          </w:tcPr>
          <w:p w14:paraId="059AF7F5"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25272149"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6934B898" w14:textId="4085E20C"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17.</w:t>
            </w:r>
            <w:r w:rsidR="00E653AF" w:rsidRPr="00483DC7">
              <w:rPr>
                <w:rFonts w:ascii="Times New Roman" w:eastAsia="Times New Roman" w:hAnsi="Times New Roman" w:cs="Times New Roman"/>
                <w:i/>
                <w:iCs/>
                <w:color w:val="000000"/>
                <w:sz w:val="20"/>
                <w:szCs w:val="20"/>
                <w:lang w:val="ro-MD"/>
              </w:rPr>
              <w:t>Asistență tehnică „Activități preparatorii aferente unui proiect privind locuințele sociale”</w:t>
            </w:r>
          </w:p>
        </w:tc>
        <w:tc>
          <w:tcPr>
            <w:tcW w:w="1476" w:type="dxa"/>
            <w:shd w:val="clear" w:color="auto" w:fill="auto"/>
            <w:vAlign w:val="center"/>
            <w:hideMark/>
          </w:tcPr>
          <w:p w14:paraId="269A9F93"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973,00</w:t>
            </w:r>
          </w:p>
        </w:tc>
        <w:tc>
          <w:tcPr>
            <w:tcW w:w="1703" w:type="dxa"/>
            <w:shd w:val="clear" w:color="auto" w:fill="auto"/>
            <w:noWrap/>
            <w:vAlign w:val="center"/>
            <w:hideMark/>
          </w:tcPr>
          <w:p w14:paraId="14E883A7"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973,00</w:t>
            </w:r>
          </w:p>
        </w:tc>
        <w:tc>
          <w:tcPr>
            <w:tcW w:w="6525" w:type="dxa"/>
            <w:shd w:val="clear" w:color="auto" w:fill="auto"/>
            <w:hideMark/>
          </w:tcPr>
          <w:p w14:paraId="370F4874"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Studiu de fezabilitate elaborat</w:t>
            </w:r>
          </w:p>
        </w:tc>
      </w:tr>
      <w:tr w:rsidR="00E653AF" w:rsidRPr="00483DC7" w14:paraId="137B9E3E" w14:textId="77777777" w:rsidTr="003B63AA">
        <w:trPr>
          <w:trHeight w:val="105"/>
        </w:trPr>
        <w:tc>
          <w:tcPr>
            <w:tcW w:w="1294" w:type="dxa"/>
            <w:shd w:val="clear" w:color="000000" w:fill="2F75B5"/>
            <w:vAlign w:val="center"/>
            <w:hideMark/>
          </w:tcPr>
          <w:p w14:paraId="2B76989C"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7FC961CC"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6BB9DA19"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53F0EF2F"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5D14D2E3"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hideMark/>
          </w:tcPr>
          <w:p w14:paraId="02EB2F20"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1EB9B93B" w14:textId="77777777" w:rsidTr="003B63AA">
        <w:trPr>
          <w:trHeight w:val="675"/>
        </w:trPr>
        <w:tc>
          <w:tcPr>
            <w:tcW w:w="1294" w:type="dxa"/>
            <w:shd w:val="clear" w:color="auto" w:fill="auto"/>
            <w:vAlign w:val="center"/>
            <w:hideMark/>
          </w:tcPr>
          <w:p w14:paraId="08726C2C"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Agricultură și dezvoltare rurală</w:t>
            </w:r>
          </w:p>
        </w:tc>
        <w:tc>
          <w:tcPr>
            <w:tcW w:w="1383" w:type="dxa"/>
            <w:shd w:val="clear" w:color="auto" w:fill="auto"/>
            <w:vAlign w:val="center"/>
            <w:hideMark/>
          </w:tcPr>
          <w:p w14:paraId="28AC8E94"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UCIP IFAD</w:t>
            </w:r>
          </w:p>
        </w:tc>
        <w:tc>
          <w:tcPr>
            <w:tcW w:w="1936" w:type="dxa"/>
            <w:shd w:val="clear" w:color="auto" w:fill="auto"/>
            <w:vAlign w:val="center"/>
            <w:hideMark/>
          </w:tcPr>
          <w:p w14:paraId="7EE69F40" w14:textId="7F4A5987"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18.</w:t>
            </w:r>
            <w:r w:rsidR="00E653AF" w:rsidRPr="00483DC7">
              <w:rPr>
                <w:rFonts w:ascii="Times New Roman" w:eastAsia="Times New Roman" w:hAnsi="Times New Roman" w:cs="Times New Roman"/>
                <w:i/>
                <w:iCs/>
                <w:color w:val="000000"/>
                <w:sz w:val="20"/>
                <w:szCs w:val="20"/>
                <w:lang w:val="ro-MD"/>
              </w:rPr>
              <w:t>Îmbunătățirea capacităților pentru transformarea zonei rurale(IFAD 8)</w:t>
            </w:r>
          </w:p>
        </w:tc>
        <w:tc>
          <w:tcPr>
            <w:tcW w:w="1476" w:type="dxa"/>
            <w:shd w:val="clear" w:color="auto" w:fill="auto"/>
            <w:vAlign w:val="center"/>
            <w:hideMark/>
          </w:tcPr>
          <w:p w14:paraId="70785222" w14:textId="34C95DC7" w:rsidR="00E653AF" w:rsidRPr="00483DC7" w:rsidRDefault="00357B90"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35.618,40</w:t>
            </w:r>
            <w:r w:rsidR="00CB1EF8">
              <w:rPr>
                <w:rStyle w:val="FootnoteReference"/>
                <w:rFonts w:ascii="Times New Roman" w:eastAsia="Times New Roman" w:hAnsi="Times New Roman" w:cs="Times New Roman"/>
                <w:color w:val="000000"/>
                <w:sz w:val="20"/>
                <w:szCs w:val="20"/>
                <w:lang w:val="ro-MD"/>
              </w:rPr>
              <w:footnoteReference w:id="87"/>
            </w:r>
          </w:p>
        </w:tc>
        <w:tc>
          <w:tcPr>
            <w:tcW w:w="1703" w:type="dxa"/>
            <w:shd w:val="clear" w:color="auto" w:fill="auto"/>
            <w:noWrap/>
            <w:vAlign w:val="center"/>
            <w:hideMark/>
          </w:tcPr>
          <w:p w14:paraId="52F3D42B" w14:textId="4C8684DA" w:rsidR="00E653AF" w:rsidRPr="00483DC7" w:rsidRDefault="00D136D1"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19.187,00</w:t>
            </w:r>
          </w:p>
        </w:tc>
        <w:tc>
          <w:tcPr>
            <w:tcW w:w="6525" w:type="dxa"/>
            <w:shd w:val="clear" w:color="auto" w:fill="auto"/>
            <w:vAlign w:val="center"/>
            <w:hideMark/>
          </w:tcPr>
          <w:p w14:paraId="18E3EE76" w14:textId="77CBF987" w:rsidR="00A96DC7" w:rsidRPr="00483DC7" w:rsidRDefault="00A96DC7" w:rsidP="00A96DC7">
            <w:p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În cadrul proiectului TRTP au fost înregistrate următoarele progrese:</w:t>
            </w:r>
          </w:p>
          <w:p w14:paraId="7B3FD365"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în vederea fortificării rezilienței climatice au fost instruiți 279 mici fermieri referitor la gestionarea adaptată la schimbările climatice a apelor în gospodăriile agricole;</w:t>
            </w:r>
          </w:p>
          <w:p w14:paraId="5A9DC22D"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au fost finanțate 9 granturi pentru înființarea loturilor demonstrative de diseminare a practicilor de gestionare a apei în cadrul exploatației agricole în zonele rurale vulnerabile la schimbările climatice; </w:t>
            </w:r>
          </w:p>
          <w:p w14:paraId="712F152E"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au fost finanțate 29 proiecte investiționale pentru finanțarea echipamentului de irigare;</w:t>
            </w:r>
          </w:p>
          <w:p w14:paraId="364C87F0"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au fost finanțate 95 proiecte investiționale, inclusiv pentru 40 femei antreprenoare și 74 tineri, și anume:</w:t>
            </w:r>
          </w:p>
          <w:p w14:paraId="3107D057" w14:textId="2FF5C22E"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5 proiecte investiționale pentru întreprinderi micro și mici </w:t>
            </w:r>
            <w:r w:rsidR="00483DC7" w:rsidRPr="00483DC7">
              <w:rPr>
                <w:rFonts w:ascii="Times New Roman" w:hAnsi="Times New Roman" w:cs="Times New Roman"/>
                <w:sz w:val="20"/>
                <w:szCs w:val="20"/>
                <w:lang w:val="ro-MD"/>
              </w:rPr>
              <w:t xml:space="preserve">de </w:t>
            </w:r>
            <w:r w:rsidRPr="00483DC7">
              <w:rPr>
                <w:rFonts w:ascii="Times New Roman" w:hAnsi="Times New Roman" w:cs="Times New Roman"/>
                <w:sz w:val="20"/>
                <w:szCs w:val="20"/>
                <w:lang w:val="ro-MD"/>
              </w:rPr>
              <w:t>agroprocesare, inclusiv pentru 4 femei antreprenoare și 5 tineri antreprenori;</w:t>
            </w:r>
          </w:p>
          <w:p w14:paraId="13D05E65"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49 proiecte investiționale pentru tineri și femei, inclusiv pentru 19 femei antreprenoare și 46 tineri antreprenori;</w:t>
            </w:r>
          </w:p>
          <w:p w14:paraId="3BC1F26D" w14:textId="67C25C0B"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18 proiecte investiționale pentru întreprinderi micro și mici </w:t>
            </w:r>
            <w:r w:rsidR="00483DC7" w:rsidRPr="00483DC7">
              <w:rPr>
                <w:rFonts w:ascii="Times New Roman" w:hAnsi="Times New Roman" w:cs="Times New Roman"/>
                <w:sz w:val="20"/>
                <w:szCs w:val="20"/>
                <w:lang w:val="ro-MD"/>
              </w:rPr>
              <w:t xml:space="preserve">de </w:t>
            </w:r>
            <w:r w:rsidRPr="00483DC7">
              <w:rPr>
                <w:rFonts w:ascii="Times New Roman" w:hAnsi="Times New Roman" w:cs="Times New Roman"/>
                <w:sz w:val="20"/>
                <w:szCs w:val="20"/>
                <w:lang w:val="ro-MD"/>
              </w:rPr>
              <w:t>agroproducere, inclusiv pentru 7 femei antreprenoare și 9 tineri antreprenori;</w:t>
            </w:r>
          </w:p>
          <w:p w14:paraId="1A7E201C" w14:textId="3D2C80F1"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23 proiecte investiționale pentru </w:t>
            </w:r>
            <w:r w:rsidR="00483DC7" w:rsidRPr="00483DC7">
              <w:rPr>
                <w:rFonts w:ascii="Times New Roman" w:hAnsi="Times New Roman" w:cs="Times New Roman"/>
                <w:sz w:val="20"/>
                <w:szCs w:val="20"/>
                <w:lang w:val="ro-MD"/>
              </w:rPr>
              <w:t>micro antreprenori</w:t>
            </w:r>
            <w:r w:rsidRPr="00483DC7">
              <w:rPr>
                <w:rFonts w:ascii="Times New Roman" w:hAnsi="Times New Roman" w:cs="Times New Roman"/>
                <w:sz w:val="20"/>
                <w:szCs w:val="20"/>
                <w:lang w:val="ro-MD"/>
              </w:rPr>
              <w:t>, inclusiv pentru 10 femei antreprenoare și 14 tineri antreprenori;</w:t>
            </w:r>
          </w:p>
          <w:p w14:paraId="73A283D9"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 fost realizat 1 studiu privind agricultura conservativă în Republica Moldova. Ca rezultat, a fost elaborată „Cartea albă” aferentă agriculturii conservative și a fost prezentată în cadrul unui eveniment dedicat la USM, la care au participat 45 persoane;</w:t>
            </w:r>
          </w:p>
          <w:p w14:paraId="3CA90615" w14:textId="3F834172"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au fost organizate 12 evenimente cu participarea a 897 de persoane, printre care mese rotunde, seminar</w:t>
            </w:r>
            <w:r w:rsidR="00483DC7" w:rsidRPr="00483DC7">
              <w:rPr>
                <w:rFonts w:ascii="Times New Roman" w:hAnsi="Times New Roman" w:cs="Times New Roman"/>
                <w:sz w:val="20"/>
                <w:szCs w:val="20"/>
                <w:lang w:val="ro-MD"/>
              </w:rPr>
              <w:t>e</w:t>
            </w:r>
            <w:r w:rsidRPr="00483DC7">
              <w:rPr>
                <w:rFonts w:ascii="Times New Roman" w:hAnsi="Times New Roman" w:cs="Times New Roman"/>
                <w:sz w:val="20"/>
                <w:szCs w:val="20"/>
                <w:lang w:val="ro-MD"/>
              </w:rPr>
              <w:t xml:space="preserve"> informative, târguri de carieră;</w:t>
            </w:r>
          </w:p>
          <w:p w14:paraId="3B5B1CFC" w14:textId="77777777" w:rsidR="00A96DC7" w:rsidRPr="00483DC7" w:rsidRDefault="00A96DC7" w:rsidP="00A96DC7">
            <w:pPr>
              <w:pStyle w:val="ListParagraph"/>
              <w:numPr>
                <w:ilvl w:val="0"/>
                <w:numId w:val="8"/>
              </w:numPr>
              <w:spacing w:after="0" w:line="240" w:lineRule="auto"/>
              <w:jc w:val="both"/>
              <w:rPr>
                <w:rFonts w:ascii="Times New Roman" w:hAnsi="Times New Roman" w:cs="Times New Roman"/>
                <w:iCs/>
                <w:sz w:val="20"/>
                <w:szCs w:val="20"/>
                <w:lang w:val="ro-MD"/>
              </w:rPr>
            </w:pPr>
            <w:r w:rsidRPr="00483DC7">
              <w:rPr>
                <w:rFonts w:ascii="Times New Roman" w:hAnsi="Times New Roman" w:cs="Times New Roman"/>
                <w:sz w:val="20"/>
                <w:szCs w:val="20"/>
                <w:lang w:val="ro-MD"/>
              </w:rPr>
              <w:t>a fost acordată asistență tehnică și mentorat în businessul agricol pentru 48 tineri și femei, inclusiv asistență în elaborarea planurilor de afaceri, mentorat individual, cursuri de formare/ateliere</w:t>
            </w:r>
            <w:r w:rsidRPr="00483DC7">
              <w:rPr>
                <w:rFonts w:ascii="Times New Roman" w:hAnsi="Times New Roman" w:cs="Times New Roman"/>
                <w:iCs/>
                <w:sz w:val="20"/>
                <w:szCs w:val="20"/>
                <w:lang w:val="ro-MD"/>
              </w:rPr>
              <w:t xml:space="preserve"> online, sesiuni de e-mentorat, mentorat de grup și sesiuni de networking și învățare de la liderii fermieri. Din totalul de 48 de beneficiari, 43 sunt tineri, ceea ce indică un impact puternic asupra acestui grup de vârstă important pentru dezvoltarea viitoare a comunității. </w:t>
            </w:r>
          </w:p>
          <w:p w14:paraId="3173C2B8" w14:textId="77777777" w:rsidR="00A96DC7" w:rsidRPr="00483DC7" w:rsidRDefault="00A96DC7" w:rsidP="00A96DC7">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Ca rezultat a implementării proiectului TRTP în RM au beneficiat de suport financiar și asistență tehnică 415 gospodării sau 1204</w:t>
            </w:r>
            <w:r w:rsidRPr="00483DC7">
              <w:rPr>
                <w:rFonts w:ascii="Times New Roman" w:hAnsi="Times New Roman" w:cs="Times New Roman"/>
                <w:sz w:val="20"/>
                <w:szCs w:val="20"/>
                <w:lang w:val="ro-MD" w:eastAsia="ru-RU"/>
              </w:rPr>
              <w:t xml:space="preserve"> </w:t>
            </w:r>
            <w:r w:rsidRPr="00483DC7">
              <w:rPr>
                <w:rFonts w:ascii="Times New Roman" w:hAnsi="Times New Roman" w:cs="Times New Roman"/>
                <w:sz w:val="20"/>
                <w:szCs w:val="20"/>
                <w:lang w:val="ro-MD"/>
              </w:rPr>
              <w:t>persoane, și anume:</w:t>
            </w:r>
          </w:p>
          <w:p w14:paraId="4101D826" w14:textId="77777777" w:rsidR="00A96DC7" w:rsidRPr="00483DC7" w:rsidRDefault="00A96DC7" w:rsidP="00A96DC7">
            <w:pPr>
              <w:pStyle w:val="ListParagraph"/>
              <w:numPr>
                <w:ilvl w:val="0"/>
                <w:numId w:val="8"/>
              </w:num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296 bărbați;</w:t>
            </w:r>
          </w:p>
          <w:p w14:paraId="7ECDF255" w14:textId="77777777" w:rsidR="00A96DC7" w:rsidRPr="00483DC7" w:rsidRDefault="00A96DC7" w:rsidP="00A96DC7">
            <w:pPr>
              <w:pStyle w:val="ListParagraph"/>
              <w:numPr>
                <w:ilvl w:val="0"/>
                <w:numId w:val="8"/>
              </w:numPr>
              <w:spacing w:after="0" w:line="240" w:lineRule="auto"/>
              <w:jc w:val="both"/>
              <w:rPr>
                <w:rFonts w:ascii="Times New Roman" w:hAnsi="Times New Roman" w:cs="Times New Roman"/>
                <w:iCs/>
                <w:sz w:val="20"/>
                <w:szCs w:val="20"/>
                <w:lang w:val="ro-MD"/>
              </w:rPr>
            </w:pPr>
            <w:r w:rsidRPr="00483DC7">
              <w:rPr>
                <w:rFonts w:ascii="Times New Roman" w:hAnsi="Times New Roman" w:cs="Times New Roman"/>
                <w:sz w:val="20"/>
                <w:szCs w:val="20"/>
                <w:lang w:val="ro-MD"/>
              </w:rPr>
              <w:t>119 femei;</w:t>
            </w:r>
          </w:p>
          <w:p w14:paraId="6F1F4C29" w14:textId="22AA6723" w:rsidR="00E653AF" w:rsidRPr="00483DC7" w:rsidRDefault="00A96DC7" w:rsidP="00A96DC7">
            <w:pPr>
              <w:pStyle w:val="ListParagraph"/>
              <w:numPr>
                <w:ilvl w:val="0"/>
                <w:numId w:val="8"/>
              </w:numPr>
              <w:spacing w:after="0" w:line="240" w:lineRule="auto"/>
              <w:jc w:val="both"/>
              <w:rPr>
                <w:rFonts w:ascii="Times New Roman" w:hAnsi="Times New Roman" w:cs="Times New Roman"/>
                <w:iCs/>
                <w:sz w:val="20"/>
                <w:szCs w:val="20"/>
                <w:lang w:val="ro-MD"/>
              </w:rPr>
            </w:pPr>
            <w:r w:rsidRPr="00483DC7">
              <w:rPr>
                <w:rFonts w:ascii="Times New Roman" w:hAnsi="Times New Roman" w:cs="Times New Roman"/>
                <w:sz w:val="20"/>
                <w:szCs w:val="20"/>
                <w:lang w:val="ro-MD"/>
              </w:rPr>
              <w:t>196 tineri.</w:t>
            </w:r>
          </w:p>
        </w:tc>
      </w:tr>
      <w:tr w:rsidR="00E653AF" w:rsidRPr="00483DC7" w14:paraId="6F4B9F0A" w14:textId="77777777" w:rsidTr="003B63AA">
        <w:trPr>
          <w:trHeight w:val="300"/>
        </w:trPr>
        <w:tc>
          <w:tcPr>
            <w:tcW w:w="1294" w:type="dxa"/>
            <w:shd w:val="clear" w:color="auto" w:fill="auto"/>
            <w:vAlign w:val="center"/>
            <w:hideMark/>
          </w:tcPr>
          <w:p w14:paraId="5603DB7B"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6D07EFB9"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64847794" w14:textId="7D8CBF3C"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19. </w:t>
            </w:r>
            <w:r w:rsidR="00E653AF" w:rsidRPr="00483DC7">
              <w:rPr>
                <w:rFonts w:ascii="Times New Roman" w:eastAsia="Times New Roman" w:hAnsi="Times New Roman" w:cs="Times New Roman"/>
                <w:i/>
                <w:iCs/>
                <w:color w:val="000000"/>
                <w:sz w:val="20"/>
                <w:szCs w:val="20"/>
                <w:lang w:val="ro-MD"/>
              </w:rPr>
              <w:t>Proiectul de Reziliență Rurală (IFAD 7)</w:t>
            </w:r>
          </w:p>
        </w:tc>
        <w:tc>
          <w:tcPr>
            <w:tcW w:w="1476" w:type="dxa"/>
            <w:shd w:val="clear" w:color="auto" w:fill="auto"/>
            <w:vAlign w:val="center"/>
            <w:hideMark/>
          </w:tcPr>
          <w:p w14:paraId="48EC4DD8" w14:textId="4D65FBF3" w:rsidR="00E653AF" w:rsidRPr="00483DC7" w:rsidRDefault="00D136D1"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165.681,00</w:t>
            </w:r>
          </w:p>
        </w:tc>
        <w:tc>
          <w:tcPr>
            <w:tcW w:w="1703" w:type="dxa"/>
            <w:shd w:val="clear" w:color="auto" w:fill="auto"/>
            <w:noWrap/>
            <w:vAlign w:val="center"/>
            <w:hideMark/>
          </w:tcPr>
          <w:p w14:paraId="2C733295" w14:textId="3D8D7F3C" w:rsidR="00E653AF" w:rsidRPr="00483DC7" w:rsidRDefault="00D136D1"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406.893,00</w:t>
            </w:r>
          </w:p>
        </w:tc>
        <w:tc>
          <w:tcPr>
            <w:tcW w:w="6525" w:type="dxa"/>
            <w:shd w:val="clear" w:color="auto" w:fill="auto"/>
            <w:vAlign w:val="center"/>
            <w:hideMark/>
          </w:tcPr>
          <w:p w14:paraId="65A53438" w14:textId="3A7DFC19" w:rsidR="00A96DC7" w:rsidRPr="00483DC7" w:rsidRDefault="00A96DC7" w:rsidP="00A96DC7">
            <w:pPr>
              <w:spacing w:before="120" w:after="120" w:line="240" w:lineRule="auto"/>
              <w:jc w:val="both"/>
              <w:rPr>
                <w:rFonts w:ascii="Times New Roman" w:hAnsi="Times New Roman" w:cs="Times New Roman"/>
                <w:color w:val="000000"/>
                <w:sz w:val="20"/>
                <w:szCs w:val="20"/>
                <w:lang w:val="ro-MD" w:eastAsia="en-GB"/>
              </w:rPr>
            </w:pPr>
            <w:r w:rsidRPr="00483DC7">
              <w:rPr>
                <w:rFonts w:ascii="Times New Roman" w:hAnsi="Times New Roman" w:cs="Times New Roman"/>
                <w:color w:val="000000"/>
                <w:sz w:val="20"/>
                <w:szCs w:val="20"/>
                <w:lang w:val="ro-MD" w:eastAsia="en-GB"/>
              </w:rPr>
              <w:t>Pe parcursul a 7 ani de implementare a Proiectului IFAD VII au fost înregistrate un șir de progrese în vederea sporirii rezili</w:t>
            </w:r>
            <w:r w:rsidR="002D39DD" w:rsidRPr="00483DC7">
              <w:rPr>
                <w:rFonts w:ascii="Times New Roman" w:hAnsi="Times New Roman" w:cs="Times New Roman"/>
                <w:color w:val="000000"/>
                <w:sz w:val="20"/>
                <w:szCs w:val="20"/>
                <w:lang w:val="ro-MD" w:eastAsia="en-GB"/>
              </w:rPr>
              <w:t>enței agricultorilor la schimbă</w:t>
            </w:r>
            <w:r w:rsidRPr="00483DC7">
              <w:rPr>
                <w:rFonts w:ascii="Times New Roman" w:hAnsi="Times New Roman" w:cs="Times New Roman"/>
                <w:color w:val="000000"/>
                <w:sz w:val="20"/>
                <w:szCs w:val="20"/>
                <w:lang w:val="ro-MD" w:eastAsia="en-GB"/>
              </w:rPr>
              <w:t>rile climatice, și anume:</w:t>
            </w:r>
          </w:p>
          <w:p w14:paraId="0DD12E66"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construcția a opt segmente de drum cu lungimea de 6,64 km, de care vor beneficia 2755 de gospodării sau 7651 persoane;</w:t>
            </w:r>
          </w:p>
          <w:p w14:paraId="2CEDC1AB" w14:textId="02891960"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construcția a 7 sisteme de irigare care va asigura irigarea a 487 de ha de p</w:t>
            </w:r>
            <w:r w:rsidR="002D39DD" w:rsidRPr="00483DC7">
              <w:rPr>
                <w:rFonts w:ascii="Times New Roman" w:hAnsi="Times New Roman" w:cs="Times New Roman"/>
                <w:sz w:val="20"/>
                <w:szCs w:val="20"/>
                <w:lang w:val="ro-MD"/>
              </w:rPr>
              <w:t>ă</w:t>
            </w:r>
            <w:r w:rsidRPr="00483DC7">
              <w:rPr>
                <w:rFonts w:ascii="Times New Roman" w:hAnsi="Times New Roman" w:cs="Times New Roman"/>
                <w:sz w:val="20"/>
                <w:szCs w:val="20"/>
                <w:lang w:val="ro-MD"/>
              </w:rPr>
              <w:t>m</w:t>
            </w:r>
            <w:r w:rsidR="002D39DD" w:rsidRPr="00483DC7">
              <w:rPr>
                <w:rFonts w:ascii="Times New Roman" w:hAnsi="Times New Roman" w:cs="Times New Roman"/>
                <w:sz w:val="20"/>
                <w:szCs w:val="20"/>
                <w:lang w:val="ro-MD"/>
              </w:rPr>
              <w:t>â</w:t>
            </w:r>
            <w:r w:rsidRPr="00483DC7">
              <w:rPr>
                <w:rFonts w:ascii="Times New Roman" w:hAnsi="Times New Roman" w:cs="Times New Roman"/>
                <w:sz w:val="20"/>
                <w:szCs w:val="20"/>
                <w:lang w:val="ro-MD"/>
              </w:rPr>
              <w:t>nt, de care vor beneficia 34 întreprinderi agricole;</w:t>
            </w:r>
          </w:p>
          <w:p w14:paraId="382B82F4"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construcția/reabilitarea a 4 lacuri de captare a apei, de care vor beneficia 980 de gospodării sau 2152 persoane;</w:t>
            </w:r>
          </w:p>
          <w:p w14:paraId="784BAF91"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debursarea a 207 granturi pentru finanțarea măsurilor de adaptare a sistemelor de producere agricolă la schimbările climatice;</w:t>
            </w:r>
          </w:p>
          <w:p w14:paraId="0A9B4138" w14:textId="35F82D4C"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debursarea a 139 granturi pentru finanțarea femeilor micro</w:t>
            </w:r>
            <w:r w:rsidR="002D39DD" w:rsidRPr="00483DC7">
              <w:rPr>
                <w:rFonts w:ascii="Times New Roman" w:hAnsi="Times New Roman" w:cs="Times New Roman"/>
                <w:sz w:val="20"/>
                <w:szCs w:val="20"/>
                <w:lang w:val="ro-MD"/>
              </w:rPr>
              <w:t xml:space="preserve"> </w:t>
            </w:r>
            <w:r w:rsidRPr="00483DC7">
              <w:rPr>
                <w:rFonts w:ascii="Times New Roman" w:hAnsi="Times New Roman" w:cs="Times New Roman"/>
                <w:sz w:val="20"/>
                <w:szCs w:val="20"/>
                <w:lang w:val="ro-MD"/>
              </w:rPr>
              <w:t>antreprenoare;</w:t>
            </w:r>
          </w:p>
          <w:p w14:paraId="0121B86C"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înființarea a 429,47 ha de fâșii/plantații forestiere în cadrul a 25 APL-uri și înființarea a 61 ha de învelișuri de ierburi, de care vor beneficia 17 889 de gospodării sau 50 089 persoane;</w:t>
            </w:r>
          </w:p>
          <w:p w14:paraId="05ACA7C2"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debursarea a 175 credite, dintre care:</w:t>
            </w:r>
          </w:p>
          <w:p w14:paraId="4BAC6A82"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36 credite pentru finanțarea tinerilor antreprenori;</w:t>
            </w:r>
          </w:p>
          <w:p w14:paraId="307EE8EF"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77 credite pentru finanțarea ÎMM-urilor;</w:t>
            </w:r>
          </w:p>
          <w:p w14:paraId="0FBADC0A"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62 credite pentru finanțarea micro-antreprenorilor;</w:t>
            </w:r>
          </w:p>
          <w:p w14:paraId="0E981C7D"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Instruirea a 1859 persoane, dintre care:</w:t>
            </w:r>
          </w:p>
          <w:p w14:paraId="7C89AB5E"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126 tineri antreprenori instruiți;</w:t>
            </w:r>
          </w:p>
          <w:p w14:paraId="48802BAF"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81 de persoane instruite din cadrul asociațiilor de economii și împrumut;</w:t>
            </w:r>
          </w:p>
          <w:p w14:paraId="7818C032"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683 de persoane instruite în educație financiară;</w:t>
            </w:r>
          </w:p>
          <w:p w14:paraId="68924662"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266 de membri a grupurilor de producători instruiți în cadrul lanțului valoric;</w:t>
            </w:r>
          </w:p>
          <w:p w14:paraId="4EA30022" w14:textId="77777777" w:rsidR="00A96DC7" w:rsidRPr="00483DC7" w:rsidRDefault="00A96DC7" w:rsidP="00A96DC7">
            <w:pPr>
              <w:pStyle w:val="ListParagraph"/>
              <w:numPr>
                <w:ilvl w:val="0"/>
                <w:numId w:val="10"/>
              </w:numPr>
              <w:spacing w:after="200" w:line="240" w:lineRule="auto"/>
              <w:ind w:hanging="202"/>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703 persoane instruite in domeniul adaptării măsurilor la schimbările climatice.</w:t>
            </w:r>
          </w:p>
          <w:p w14:paraId="5E48ECB8" w14:textId="77777777" w:rsidR="00A96DC7" w:rsidRPr="00483DC7" w:rsidRDefault="00A96DC7" w:rsidP="00A96DC7">
            <w:pPr>
              <w:pStyle w:val="ListParagraph"/>
              <w:numPr>
                <w:ilvl w:val="0"/>
                <w:numId w:val="8"/>
              </w:numPr>
              <w:spacing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Elaborarea planurilor de afaceri pentru 26 tineri antreprenori.</w:t>
            </w:r>
          </w:p>
          <w:p w14:paraId="2EAE3CEA" w14:textId="77777777" w:rsidR="00A96DC7" w:rsidRPr="00483DC7" w:rsidRDefault="00A96DC7" w:rsidP="00A96DC7">
            <w:p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Ca rezultat a implementării proiectului IFAD VII în RM au beneficiat de suport financiar și asistență tehnică 55 383 gospodării sau 155 071</w:t>
            </w:r>
            <w:r w:rsidRPr="00483DC7">
              <w:rPr>
                <w:rFonts w:ascii="Times New Roman" w:hAnsi="Times New Roman" w:cs="Times New Roman"/>
                <w:sz w:val="20"/>
                <w:szCs w:val="20"/>
                <w:lang w:val="ro-MD" w:eastAsia="ru-RU"/>
              </w:rPr>
              <w:t xml:space="preserve"> </w:t>
            </w:r>
            <w:r w:rsidRPr="00483DC7">
              <w:rPr>
                <w:rFonts w:ascii="Times New Roman" w:hAnsi="Times New Roman" w:cs="Times New Roman"/>
                <w:sz w:val="20"/>
                <w:szCs w:val="20"/>
                <w:lang w:val="ro-MD"/>
              </w:rPr>
              <w:t>persoane, și anume:</w:t>
            </w:r>
          </w:p>
          <w:p w14:paraId="6D63B053" w14:textId="77777777" w:rsidR="00A96DC7" w:rsidRPr="00483DC7" w:rsidRDefault="00A96DC7" w:rsidP="00A96DC7">
            <w:pPr>
              <w:pStyle w:val="ListParagraph"/>
              <w:numPr>
                <w:ilvl w:val="0"/>
                <w:numId w:val="9"/>
              </w:num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75 985 bărbați;</w:t>
            </w:r>
          </w:p>
          <w:p w14:paraId="6470F7EB" w14:textId="77777777" w:rsidR="00A96DC7" w:rsidRPr="00483DC7" w:rsidRDefault="00A96DC7" w:rsidP="00A96DC7">
            <w:pPr>
              <w:pStyle w:val="ListParagraph"/>
              <w:numPr>
                <w:ilvl w:val="0"/>
                <w:numId w:val="9"/>
              </w:num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79 086 femei;</w:t>
            </w:r>
          </w:p>
          <w:p w14:paraId="5A68532C" w14:textId="7E4375FD" w:rsidR="00E653AF" w:rsidRPr="00483DC7" w:rsidRDefault="00A96DC7" w:rsidP="00A96DC7">
            <w:pPr>
              <w:pStyle w:val="ListParagraph"/>
              <w:numPr>
                <w:ilvl w:val="0"/>
                <w:numId w:val="9"/>
              </w:numPr>
              <w:spacing w:after="0" w:line="240" w:lineRule="auto"/>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32 564 tineri.</w:t>
            </w:r>
          </w:p>
        </w:tc>
      </w:tr>
      <w:tr w:rsidR="00E653AF" w:rsidRPr="00483DC7" w14:paraId="108E9122" w14:textId="77777777" w:rsidTr="003B63AA">
        <w:trPr>
          <w:trHeight w:val="105"/>
        </w:trPr>
        <w:tc>
          <w:tcPr>
            <w:tcW w:w="1294" w:type="dxa"/>
            <w:shd w:val="clear" w:color="auto" w:fill="auto"/>
            <w:vAlign w:val="center"/>
            <w:hideMark/>
          </w:tcPr>
          <w:p w14:paraId="43213D97"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p>
        </w:tc>
        <w:tc>
          <w:tcPr>
            <w:tcW w:w="1383" w:type="dxa"/>
            <w:shd w:val="clear" w:color="000000" w:fill="AEAAAA"/>
            <w:vAlign w:val="center"/>
            <w:hideMark/>
          </w:tcPr>
          <w:p w14:paraId="6D44A68A"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AEAAAA"/>
            <w:vAlign w:val="center"/>
            <w:hideMark/>
          </w:tcPr>
          <w:p w14:paraId="7DB5F06B"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AEAAAA"/>
            <w:vAlign w:val="center"/>
            <w:hideMark/>
          </w:tcPr>
          <w:p w14:paraId="47D5357A"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AEAAAA"/>
            <w:noWrap/>
            <w:vAlign w:val="center"/>
            <w:hideMark/>
          </w:tcPr>
          <w:p w14:paraId="597165DB"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AEAAAA"/>
            <w:hideMark/>
          </w:tcPr>
          <w:p w14:paraId="6E5D68E8"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75DC98F6" w14:textId="77777777" w:rsidTr="003B63AA">
        <w:trPr>
          <w:trHeight w:val="1194"/>
        </w:trPr>
        <w:tc>
          <w:tcPr>
            <w:tcW w:w="1294" w:type="dxa"/>
            <w:shd w:val="clear" w:color="auto" w:fill="auto"/>
            <w:vAlign w:val="center"/>
            <w:hideMark/>
          </w:tcPr>
          <w:p w14:paraId="48627AC6"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050CEB54"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UCIMPA</w:t>
            </w:r>
          </w:p>
        </w:tc>
        <w:tc>
          <w:tcPr>
            <w:tcW w:w="1936" w:type="dxa"/>
            <w:shd w:val="clear" w:color="auto" w:fill="auto"/>
            <w:vAlign w:val="center"/>
            <w:hideMark/>
          </w:tcPr>
          <w:p w14:paraId="5BACB07C" w14:textId="3E47F6CB"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20.</w:t>
            </w:r>
            <w:r w:rsidR="00E653AF" w:rsidRPr="00483DC7">
              <w:rPr>
                <w:rFonts w:ascii="Times New Roman" w:eastAsia="Times New Roman" w:hAnsi="Times New Roman" w:cs="Times New Roman"/>
                <w:i/>
                <w:iCs/>
                <w:color w:val="000000"/>
                <w:sz w:val="20"/>
                <w:szCs w:val="20"/>
                <w:lang w:val="ro-MD"/>
              </w:rPr>
              <w:t xml:space="preserve">Proiectul Agricultura Competitivă în Moldova (MACP) – I finanțare adițională </w:t>
            </w:r>
          </w:p>
        </w:tc>
        <w:tc>
          <w:tcPr>
            <w:tcW w:w="1476" w:type="dxa"/>
            <w:shd w:val="clear" w:color="auto" w:fill="auto"/>
            <w:vAlign w:val="center"/>
            <w:hideMark/>
          </w:tcPr>
          <w:p w14:paraId="0AFB5D04"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46562,30</w:t>
            </w:r>
          </w:p>
        </w:tc>
        <w:tc>
          <w:tcPr>
            <w:tcW w:w="1703" w:type="dxa"/>
            <w:shd w:val="clear" w:color="auto" w:fill="auto"/>
            <w:noWrap/>
            <w:vAlign w:val="center"/>
            <w:hideMark/>
          </w:tcPr>
          <w:p w14:paraId="682C1F5E"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46.562,30</w:t>
            </w:r>
          </w:p>
        </w:tc>
        <w:tc>
          <w:tcPr>
            <w:tcW w:w="6525" w:type="dxa"/>
            <w:shd w:val="clear" w:color="auto" w:fill="auto"/>
            <w:hideMark/>
          </w:tcPr>
          <w:p w14:paraId="7FBC4CD6"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Alocarea, delimitarea și formarea lotului de teren pentru construirea UPSOA; semnarea contractului pentru lucrări de proiectare, construcție și dotare cu echipamente a UPSOA cu agentul economic „Techno Test” SRL; emiterea de către Agenția de Mediu a Acordului de mediu necesar pentru construirea UPSOA; Obținerea certificatului de uranism necesar pentru proiectarea UPSOA, avizat de către autoritățile corespunzătoare; 120 agenți economici specializați în producerea cărnii de pasăre și a laptelui, instruiți în gestionării SOA zootehnic; 180 de inspectori ANSA instruiți în procesul de control a gestionării SOA</w:t>
            </w:r>
          </w:p>
        </w:tc>
      </w:tr>
      <w:tr w:rsidR="00E653AF" w:rsidRPr="00483DC7" w14:paraId="040E00DA" w14:textId="77777777" w:rsidTr="003B63AA">
        <w:trPr>
          <w:trHeight w:val="615"/>
        </w:trPr>
        <w:tc>
          <w:tcPr>
            <w:tcW w:w="1294" w:type="dxa"/>
            <w:shd w:val="clear" w:color="auto" w:fill="auto"/>
            <w:vAlign w:val="center"/>
            <w:hideMark/>
          </w:tcPr>
          <w:p w14:paraId="2AE512E0"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3111D871"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14A94251" w14:textId="637A26F2"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21.</w:t>
            </w:r>
            <w:r w:rsidR="00E653AF" w:rsidRPr="00483DC7">
              <w:rPr>
                <w:rFonts w:ascii="Times New Roman" w:eastAsia="Times New Roman" w:hAnsi="Times New Roman" w:cs="Times New Roman"/>
                <w:i/>
                <w:iCs/>
                <w:color w:val="000000"/>
                <w:sz w:val="20"/>
                <w:szCs w:val="20"/>
                <w:lang w:val="ro-MD"/>
              </w:rPr>
              <w:t>Proiectul Agricultura Competitivă în Moldova (MACP) – II finanțare adițională</w:t>
            </w:r>
          </w:p>
        </w:tc>
        <w:tc>
          <w:tcPr>
            <w:tcW w:w="1476" w:type="dxa"/>
            <w:shd w:val="clear" w:color="auto" w:fill="auto"/>
            <w:vAlign w:val="center"/>
            <w:hideMark/>
          </w:tcPr>
          <w:p w14:paraId="3C61DA0B"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8000,00</w:t>
            </w:r>
          </w:p>
        </w:tc>
        <w:tc>
          <w:tcPr>
            <w:tcW w:w="1703" w:type="dxa"/>
            <w:shd w:val="clear" w:color="auto" w:fill="auto"/>
            <w:noWrap/>
            <w:vAlign w:val="center"/>
            <w:hideMark/>
          </w:tcPr>
          <w:p w14:paraId="10F6AFD1"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8.000,00</w:t>
            </w:r>
          </w:p>
        </w:tc>
        <w:tc>
          <w:tcPr>
            <w:tcW w:w="6525" w:type="dxa"/>
            <w:shd w:val="clear" w:color="auto" w:fill="auto"/>
            <w:noWrap/>
            <w:vAlign w:val="center"/>
            <w:hideMark/>
          </w:tcPr>
          <w:p w14:paraId="62C393E7"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practici de management durabil aplicate pe 9056 ha de suprafețe; ; 49 de granturi postinvestiționale</w:t>
            </w:r>
          </w:p>
        </w:tc>
      </w:tr>
      <w:tr w:rsidR="00E653AF" w:rsidRPr="00483DC7" w14:paraId="52ADA955" w14:textId="77777777" w:rsidTr="003B63AA">
        <w:trPr>
          <w:trHeight w:val="600"/>
        </w:trPr>
        <w:tc>
          <w:tcPr>
            <w:tcW w:w="1294" w:type="dxa"/>
            <w:shd w:val="clear" w:color="auto" w:fill="auto"/>
            <w:vAlign w:val="center"/>
            <w:hideMark/>
          </w:tcPr>
          <w:p w14:paraId="28436F4F"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3E11E172"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4F02B1A6" w14:textId="5A358F40"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22. </w:t>
            </w:r>
            <w:r w:rsidR="00E653AF" w:rsidRPr="00483DC7">
              <w:rPr>
                <w:rFonts w:ascii="Times New Roman" w:eastAsia="Times New Roman" w:hAnsi="Times New Roman" w:cs="Times New Roman"/>
                <w:i/>
                <w:iCs/>
                <w:color w:val="000000"/>
                <w:sz w:val="20"/>
                <w:szCs w:val="20"/>
                <w:lang w:val="ro-MD"/>
              </w:rPr>
              <w:t>Proiectul ”Investiții pentru Guvernanță, Creștere și Reziliență în Agricultură”</w:t>
            </w:r>
          </w:p>
        </w:tc>
        <w:tc>
          <w:tcPr>
            <w:tcW w:w="1476" w:type="dxa"/>
            <w:shd w:val="clear" w:color="auto" w:fill="auto"/>
            <w:vAlign w:val="center"/>
            <w:hideMark/>
          </w:tcPr>
          <w:p w14:paraId="356601F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1703" w:type="dxa"/>
            <w:shd w:val="clear" w:color="auto" w:fill="auto"/>
            <w:noWrap/>
            <w:vAlign w:val="center"/>
            <w:hideMark/>
          </w:tcPr>
          <w:p w14:paraId="2566910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0,00</w:t>
            </w:r>
          </w:p>
        </w:tc>
        <w:tc>
          <w:tcPr>
            <w:tcW w:w="6525" w:type="dxa"/>
            <w:shd w:val="clear" w:color="auto" w:fill="auto"/>
            <w:vAlign w:val="bottom"/>
            <w:hideMark/>
          </w:tcPr>
          <w:p w14:paraId="6AD6EF77"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au fost desfășurate activități de pregătire pentru semnarea Acordului de împrumut pentru realizarea proiectului AGGRI, a fost elaborat MOP AGRI;</w:t>
            </w:r>
          </w:p>
        </w:tc>
      </w:tr>
      <w:tr w:rsidR="00E653AF" w:rsidRPr="00483DC7" w14:paraId="480DD96D" w14:textId="77777777" w:rsidTr="003B63AA">
        <w:trPr>
          <w:trHeight w:val="105"/>
        </w:trPr>
        <w:tc>
          <w:tcPr>
            <w:tcW w:w="1294" w:type="dxa"/>
            <w:shd w:val="clear" w:color="auto" w:fill="auto"/>
            <w:vAlign w:val="center"/>
            <w:hideMark/>
          </w:tcPr>
          <w:p w14:paraId="6B45FA84"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p>
        </w:tc>
        <w:tc>
          <w:tcPr>
            <w:tcW w:w="1383" w:type="dxa"/>
            <w:shd w:val="clear" w:color="000000" w:fill="AEAAAA"/>
            <w:vAlign w:val="center"/>
            <w:hideMark/>
          </w:tcPr>
          <w:p w14:paraId="76A89595"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AEAAAA"/>
            <w:vAlign w:val="center"/>
            <w:hideMark/>
          </w:tcPr>
          <w:p w14:paraId="3C7F6A3E"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AEAAAA"/>
            <w:vAlign w:val="center"/>
            <w:hideMark/>
          </w:tcPr>
          <w:p w14:paraId="7F1BA2C3"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AEAAAA"/>
            <w:noWrap/>
            <w:vAlign w:val="center"/>
            <w:hideMark/>
          </w:tcPr>
          <w:p w14:paraId="624015AA"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AEAAAA"/>
            <w:noWrap/>
            <w:vAlign w:val="bottom"/>
            <w:hideMark/>
          </w:tcPr>
          <w:p w14:paraId="4F8BFA4A"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5A82397C" w14:textId="77777777" w:rsidTr="003B63AA">
        <w:trPr>
          <w:trHeight w:val="277"/>
        </w:trPr>
        <w:tc>
          <w:tcPr>
            <w:tcW w:w="1294" w:type="dxa"/>
            <w:shd w:val="clear" w:color="auto" w:fill="auto"/>
            <w:vAlign w:val="center"/>
            <w:hideMark/>
          </w:tcPr>
          <w:p w14:paraId="565AFDB1"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7BC359FF"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ADMA</w:t>
            </w:r>
          </w:p>
        </w:tc>
        <w:tc>
          <w:tcPr>
            <w:tcW w:w="1936" w:type="dxa"/>
            <w:shd w:val="clear" w:color="auto" w:fill="auto"/>
            <w:vAlign w:val="center"/>
            <w:hideMark/>
          </w:tcPr>
          <w:p w14:paraId="10607EA8" w14:textId="1C428785"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23.</w:t>
            </w:r>
            <w:r w:rsidR="00E653AF" w:rsidRPr="00483DC7">
              <w:rPr>
                <w:rFonts w:ascii="Times New Roman" w:eastAsia="Times New Roman" w:hAnsi="Times New Roman" w:cs="Times New Roman"/>
                <w:i/>
                <w:iCs/>
                <w:color w:val="000000"/>
                <w:sz w:val="20"/>
                <w:szCs w:val="20"/>
                <w:lang w:val="ro-MD"/>
              </w:rPr>
              <w:t xml:space="preserve">Proiectul privind </w:t>
            </w:r>
            <w:r w:rsidR="00E653AF" w:rsidRPr="00483DC7">
              <w:rPr>
                <w:rFonts w:ascii="Times New Roman" w:eastAsia="Times New Roman" w:hAnsi="Times New Roman" w:cs="Times New Roman"/>
                <w:b/>
                <w:bCs/>
                <w:i/>
                <w:iCs/>
                <w:color w:val="000000"/>
                <w:sz w:val="20"/>
                <w:szCs w:val="20"/>
                <w:lang w:val="ro-MD"/>
              </w:rPr>
              <w:t>transformarea digitală</w:t>
            </w:r>
            <w:r w:rsidR="00E653AF" w:rsidRPr="00483DC7">
              <w:rPr>
                <w:rFonts w:ascii="Times New Roman" w:eastAsia="Times New Roman" w:hAnsi="Times New Roman" w:cs="Times New Roman"/>
                <w:i/>
                <w:iCs/>
                <w:color w:val="000000"/>
                <w:sz w:val="20"/>
                <w:szCs w:val="20"/>
                <w:lang w:val="ro-MD"/>
              </w:rPr>
              <w:t xml:space="preserve"> în agricultură în cadrul Proiectului „Agricultura conservativă – dezvoltarea unui sistem durabil de gestionare a solurilor din Republica Moldova ”</w:t>
            </w:r>
          </w:p>
        </w:tc>
        <w:tc>
          <w:tcPr>
            <w:tcW w:w="1476" w:type="dxa"/>
            <w:shd w:val="clear" w:color="auto" w:fill="auto"/>
            <w:vAlign w:val="center"/>
            <w:hideMark/>
          </w:tcPr>
          <w:p w14:paraId="60E79F9D"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8212,35</w:t>
            </w:r>
          </w:p>
        </w:tc>
        <w:tc>
          <w:tcPr>
            <w:tcW w:w="1703" w:type="dxa"/>
            <w:shd w:val="clear" w:color="auto" w:fill="auto"/>
            <w:noWrap/>
            <w:vAlign w:val="center"/>
            <w:hideMark/>
          </w:tcPr>
          <w:p w14:paraId="30E326CC"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8.212,35</w:t>
            </w:r>
          </w:p>
        </w:tc>
        <w:tc>
          <w:tcPr>
            <w:tcW w:w="6525" w:type="dxa"/>
            <w:shd w:val="clear" w:color="auto" w:fill="auto"/>
            <w:noWrap/>
            <w:vAlign w:val="center"/>
            <w:hideMark/>
          </w:tcPr>
          <w:p w14:paraId="15543502"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18 beneficiari unici, 35 de unități de echipamente procurate/finanțate</w:t>
            </w:r>
          </w:p>
        </w:tc>
      </w:tr>
      <w:tr w:rsidR="00E653AF" w:rsidRPr="00483DC7" w14:paraId="336FFF98" w14:textId="77777777" w:rsidTr="003B63AA">
        <w:trPr>
          <w:trHeight w:val="1680"/>
        </w:trPr>
        <w:tc>
          <w:tcPr>
            <w:tcW w:w="1294" w:type="dxa"/>
            <w:shd w:val="clear" w:color="auto" w:fill="auto"/>
            <w:vAlign w:val="center"/>
            <w:hideMark/>
          </w:tcPr>
          <w:p w14:paraId="50E426E2"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5BB487F6"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37D0DCBB" w14:textId="59BCB10D"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24. </w:t>
            </w:r>
            <w:r w:rsidR="00E653AF" w:rsidRPr="00483DC7">
              <w:rPr>
                <w:rFonts w:ascii="Times New Roman" w:eastAsia="Times New Roman" w:hAnsi="Times New Roman" w:cs="Times New Roman"/>
                <w:i/>
                <w:iCs/>
                <w:color w:val="000000"/>
                <w:sz w:val="20"/>
                <w:szCs w:val="20"/>
                <w:lang w:val="ro-MD"/>
              </w:rPr>
              <w:t xml:space="preserve">Proiectul privind </w:t>
            </w:r>
            <w:r w:rsidRPr="00483DC7">
              <w:rPr>
                <w:rFonts w:ascii="Times New Roman" w:eastAsia="Times New Roman" w:hAnsi="Times New Roman" w:cs="Times New Roman"/>
                <w:i/>
                <w:iCs/>
                <w:color w:val="000000"/>
                <w:sz w:val="20"/>
                <w:szCs w:val="20"/>
                <w:lang w:val="ro-MD"/>
              </w:rPr>
              <w:t>vânzarea</w:t>
            </w:r>
            <w:r w:rsidR="00E653AF" w:rsidRPr="00483DC7">
              <w:rPr>
                <w:rFonts w:ascii="Times New Roman" w:eastAsia="Times New Roman" w:hAnsi="Times New Roman" w:cs="Times New Roman"/>
                <w:i/>
                <w:iCs/>
                <w:color w:val="000000"/>
                <w:sz w:val="20"/>
                <w:szCs w:val="20"/>
                <w:lang w:val="ro-MD"/>
              </w:rPr>
              <w:t xml:space="preserve">-cumpărarea în rate a echipamentelor pentru producerea </w:t>
            </w:r>
            <w:r w:rsidR="00E653AF" w:rsidRPr="00483DC7">
              <w:rPr>
                <w:rFonts w:ascii="Times New Roman" w:eastAsia="Times New Roman" w:hAnsi="Times New Roman" w:cs="Times New Roman"/>
                <w:b/>
                <w:bCs/>
                <w:i/>
                <w:iCs/>
                <w:color w:val="000000"/>
                <w:sz w:val="20"/>
                <w:szCs w:val="20"/>
                <w:lang w:val="ro-MD"/>
              </w:rPr>
              <w:t>energiei regenerabile</w:t>
            </w:r>
            <w:r w:rsidR="00E653AF" w:rsidRPr="00483DC7">
              <w:rPr>
                <w:rFonts w:ascii="Times New Roman" w:eastAsia="Times New Roman" w:hAnsi="Times New Roman" w:cs="Times New Roman"/>
                <w:i/>
                <w:iCs/>
                <w:color w:val="000000"/>
                <w:sz w:val="20"/>
                <w:szCs w:val="20"/>
                <w:lang w:val="ro-MD"/>
              </w:rPr>
              <w:t xml:space="preserve"> în cadrul Proiectului „Agricultura conservativă – dezvoltarea unui sistem durabil de gestionare a solurilor din Republica Moldova ” </w:t>
            </w:r>
          </w:p>
        </w:tc>
        <w:tc>
          <w:tcPr>
            <w:tcW w:w="1476" w:type="dxa"/>
            <w:shd w:val="clear" w:color="auto" w:fill="auto"/>
            <w:vAlign w:val="center"/>
            <w:hideMark/>
          </w:tcPr>
          <w:p w14:paraId="62B0CF25"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37739,12</w:t>
            </w:r>
          </w:p>
        </w:tc>
        <w:tc>
          <w:tcPr>
            <w:tcW w:w="1703" w:type="dxa"/>
            <w:shd w:val="clear" w:color="auto" w:fill="auto"/>
            <w:noWrap/>
            <w:vAlign w:val="center"/>
            <w:hideMark/>
          </w:tcPr>
          <w:p w14:paraId="340796C8"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37.739,12</w:t>
            </w:r>
          </w:p>
        </w:tc>
        <w:tc>
          <w:tcPr>
            <w:tcW w:w="6525" w:type="dxa"/>
            <w:shd w:val="clear" w:color="auto" w:fill="auto"/>
            <w:noWrap/>
            <w:vAlign w:val="center"/>
            <w:hideMark/>
          </w:tcPr>
          <w:p w14:paraId="2230566B"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32 de beneficiari unici, 33 de instalații de panouri fotovoltaice</w:t>
            </w:r>
          </w:p>
        </w:tc>
      </w:tr>
      <w:tr w:rsidR="00E653AF" w:rsidRPr="00483DC7" w14:paraId="142A7654" w14:textId="77777777" w:rsidTr="003B63AA">
        <w:trPr>
          <w:trHeight w:val="1050"/>
        </w:trPr>
        <w:tc>
          <w:tcPr>
            <w:tcW w:w="1294" w:type="dxa"/>
            <w:shd w:val="clear" w:color="auto" w:fill="auto"/>
            <w:vAlign w:val="center"/>
            <w:hideMark/>
          </w:tcPr>
          <w:p w14:paraId="6AAD30F3"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113BC61A"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3D2B9588" w14:textId="594BB99E"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25. </w:t>
            </w:r>
            <w:r w:rsidR="00E653AF" w:rsidRPr="00483DC7">
              <w:rPr>
                <w:rFonts w:ascii="Times New Roman" w:eastAsia="Times New Roman" w:hAnsi="Times New Roman" w:cs="Times New Roman"/>
                <w:i/>
                <w:iCs/>
                <w:color w:val="000000"/>
                <w:sz w:val="20"/>
                <w:szCs w:val="20"/>
                <w:lang w:val="ro-MD"/>
              </w:rPr>
              <w:t xml:space="preserve">Programul de Vânzări în Rate 2KR în </w:t>
            </w:r>
            <w:r w:rsidR="00E653AF" w:rsidRPr="00483DC7">
              <w:rPr>
                <w:rFonts w:ascii="Times New Roman" w:eastAsia="Times New Roman" w:hAnsi="Times New Roman" w:cs="Times New Roman"/>
                <w:b/>
                <w:bCs/>
                <w:i/>
                <w:iCs/>
                <w:color w:val="000000"/>
                <w:sz w:val="20"/>
                <w:szCs w:val="20"/>
                <w:lang w:val="ro-MD"/>
              </w:rPr>
              <w:t xml:space="preserve">agricultura performantă irigată </w:t>
            </w:r>
            <w:r w:rsidR="00E653AF" w:rsidRPr="00483DC7">
              <w:rPr>
                <w:rFonts w:ascii="Times New Roman" w:eastAsia="Times New Roman" w:hAnsi="Times New Roman" w:cs="Times New Roman"/>
                <w:i/>
                <w:iCs/>
                <w:color w:val="000000"/>
                <w:sz w:val="20"/>
                <w:szCs w:val="20"/>
                <w:lang w:val="ro-MD"/>
              </w:rPr>
              <w:t>pentru perioada post-compact</w:t>
            </w:r>
          </w:p>
        </w:tc>
        <w:tc>
          <w:tcPr>
            <w:tcW w:w="1476" w:type="dxa"/>
            <w:shd w:val="clear" w:color="auto" w:fill="auto"/>
            <w:vAlign w:val="center"/>
            <w:hideMark/>
          </w:tcPr>
          <w:p w14:paraId="4C146430"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11484,66</w:t>
            </w:r>
          </w:p>
        </w:tc>
        <w:tc>
          <w:tcPr>
            <w:tcW w:w="1703" w:type="dxa"/>
            <w:shd w:val="clear" w:color="auto" w:fill="auto"/>
            <w:noWrap/>
            <w:vAlign w:val="center"/>
            <w:hideMark/>
          </w:tcPr>
          <w:p w14:paraId="455460D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372.948,50</w:t>
            </w:r>
          </w:p>
        </w:tc>
        <w:tc>
          <w:tcPr>
            <w:tcW w:w="6525" w:type="dxa"/>
            <w:shd w:val="clear" w:color="auto" w:fill="auto"/>
            <w:noWrap/>
            <w:vAlign w:val="center"/>
            <w:hideMark/>
          </w:tcPr>
          <w:p w14:paraId="511455C0"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59 de beneficiari unici, 133 de instalații și echipamente pentru irigare</w:t>
            </w:r>
          </w:p>
        </w:tc>
      </w:tr>
      <w:tr w:rsidR="00E653AF" w:rsidRPr="00483DC7" w14:paraId="71841887" w14:textId="77777777" w:rsidTr="003B63AA">
        <w:trPr>
          <w:trHeight w:val="600"/>
        </w:trPr>
        <w:tc>
          <w:tcPr>
            <w:tcW w:w="1294" w:type="dxa"/>
            <w:shd w:val="clear" w:color="auto" w:fill="auto"/>
            <w:vAlign w:val="center"/>
            <w:hideMark/>
          </w:tcPr>
          <w:p w14:paraId="3C0A243F"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6C1D5369"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3C15CAC5" w14:textId="10BB930C"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26. </w:t>
            </w:r>
            <w:r w:rsidR="00E653AF" w:rsidRPr="00483DC7">
              <w:rPr>
                <w:rFonts w:ascii="Times New Roman" w:eastAsia="Times New Roman" w:hAnsi="Times New Roman" w:cs="Times New Roman"/>
                <w:i/>
                <w:iCs/>
                <w:color w:val="000000"/>
                <w:sz w:val="20"/>
                <w:szCs w:val="20"/>
                <w:lang w:val="ro-MD"/>
              </w:rPr>
              <w:t>Programul dezvoltării sistemului de irigare la Scară mică (PDSISM)</w:t>
            </w:r>
          </w:p>
        </w:tc>
        <w:tc>
          <w:tcPr>
            <w:tcW w:w="1476" w:type="dxa"/>
            <w:shd w:val="clear" w:color="auto" w:fill="auto"/>
            <w:vAlign w:val="center"/>
            <w:hideMark/>
          </w:tcPr>
          <w:p w14:paraId="2B10C980"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44040,67</w:t>
            </w:r>
          </w:p>
        </w:tc>
        <w:tc>
          <w:tcPr>
            <w:tcW w:w="1703" w:type="dxa"/>
            <w:shd w:val="clear" w:color="auto" w:fill="auto"/>
            <w:noWrap/>
            <w:vAlign w:val="center"/>
            <w:hideMark/>
          </w:tcPr>
          <w:p w14:paraId="3E0EF67D"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44.040,67</w:t>
            </w:r>
          </w:p>
        </w:tc>
        <w:tc>
          <w:tcPr>
            <w:tcW w:w="6525" w:type="dxa"/>
            <w:shd w:val="clear" w:color="auto" w:fill="auto"/>
            <w:noWrap/>
            <w:vAlign w:val="center"/>
            <w:hideMark/>
          </w:tcPr>
          <w:p w14:paraId="5F12DBB8"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51 de beneficiari unici și132 de unități de tehnică agricolă și echipamente procurate/finanțate.</w:t>
            </w:r>
          </w:p>
        </w:tc>
      </w:tr>
      <w:tr w:rsidR="00E653AF" w:rsidRPr="00483DC7" w14:paraId="77D564A2" w14:textId="77777777" w:rsidTr="003B63AA">
        <w:trPr>
          <w:trHeight w:val="1110"/>
        </w:trPr>
        <w:tc>
          <w:tcPr>
            <w:tcW w:w="1294" w:type="dxa"/>
            <w:shd w:val="clear" w:color="auto" w:fill="auto"/>
            <w:noWrap/>
            <w:vAlign w:val="bottom"/>
            <w:hideMark/>
          </w:tcPr>
          <w:p w14:paraId="73ADE874"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71BB9C41"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45665C07" w14:textId="12C84BF5"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27.</w:t>
            </w:r>
            <w:r w:rsidR="00E653AF" w:rsidRPr="00483DC7">
              <w:rPr>
                <w:rFonts w:ascii="Times New Roman" w:eastAsia="Times New Roman" w:hAnsi="Times New Roman" w:cs="Times New Roman"/>
                <w:i/>
                <w:iCs/>
                <w:color w:val="000000"/>
                <w:sz w:val="20"/>
                <w:szCs w:val="20"/>
                <w:lang w:val="ro-MD"/>
              </w:rPr>
              <w:t>Proiectul de Asistență a Fermierilor Neprivilegiați/ Programul de vânzări în rate 2KR</w:t>
            </w:r>
          </w:p>
        </w:tc>
        <w:tc>
          <w:tcPr>
            <w:tcW w:w="1476" w:type="dxa"/>
            <w:shd w:val="clear" w:color="auto" w:fill="auto"/>
            <w:vAlign w:val="center"/>
            <w:hideMark/>
          </w:tcPr>
          <w:p w14:paraId="02E56079"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295601,20</w:t>
            </w:r>
          </w:p>
        </w:tc>
        <w:tc>
          <w:tcPr>
            <w:tcW w:w="1703" w:type="dxa"/>
            <w:shd w:val="clear" w:color="auto" w:fill="auto"/>
            <w:noWrap/>
            <w:vAlign w:val="center"/>
            <w:hideMark/>
          </w:tcPr>
          <w:p w14:paraId="34B2B2F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2.282.616,95</w:t>
            </w:r>
          </w:p>
        </w:tc>
        <w:tc>
          <w:tcPr>
            <w:tcW w:w="6525" w:type="dxa"/>
            <w:shd w:val="clear" w:color="auto" w:fill="auto"/>
            <w:noWrap/>
            <w:vAlign w:val="center"/>
            <w:hideMark/>
          </w:tcPr>
          <w:p w14:paraId="46885944"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413 de beneficiari unici și 619 de unități de echipamente și tehnică agricolă procurată/finanțată</w:t>
            </w:r>
          </w:p>
        </w:tc>
      </w:tr>
      <w:tr w:rsidR="00E653AF" w:rsidRPr="00483DC7" w14:paraId="10635D78" w14:textId="77777777" w:rsidTr="003B63AA">
        <w:trPr>
          <w:trHeight w:val="300"/>
        </w:trPr>
        <w:tc>
          <w:tcPr>
            <w:tcW w:w="1294" w:type="dxa"/>
            <w:shd w:val="clear" w:color="auto" w:fill="auto"/>
            <w:vAlign w:val="center"/>
            <w:hideMark/>
          </w:tcPr>
          <w:p w14:paraId="5082A060"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3E4F50BA"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03D8BED9" w14:textId="0606E58E"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28. </w:t>
            </w:r>
            <w:r w:rsidR="00E653AF" w:rsidRPr="00483DC7">
              <w:rPr>
                <w:rFonts w:ascii="Times New Roman" w:eastAsia="Times New Roman" w:hAnsi="Times New Roman" w:cs="Times New Roman"/>
                <w:i/>
                <w:iCs/>
                <w:color w:val="000000"/>
                <w:sz w:val="20"/>
                <w:szCs w:val="20"/>
                <w:lang w:val="ro-MD"/>
              </w:rPr>
              <w:t>Programului MBA în agricultură în Moldova</w:t>
            </w:r>
          </w:p>
        </w:tc>
        <w:tc>
          <w:tcPr>
            <w:tcW w:w="1476" w:type="dxa"/>
            <w:shd w:val="clear" w:color="auto" w:fill="auto"/>
            <w:vAlign w:val="center"/>
            <w:hideMark/>
          </w:tcPr>
          <w:p w14:paraId="2D1E450E"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250842,83</w:t>
            </w:r>
          </w:p>
        </w:tc>
        <w:tc>
          <w:tcPr>
            <w:tcW w:w="1703" w:type="dxa"/>
            <w:shd w:val="clear" w:color="auto" w:fill="auto"/>
            <w:noWrap/>
            <w:vAlign w:val="center"/>
            <w:hideMark/>
          </w:tcPr>
          <w:p w14:paraId="7D4BE2B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250.842,83</w:t>
            </w:r>
          </w:p>
        </w:tc>
        <w:tc>
          <w:tcPr>
            <w:tcW w:w="6525" w:type="dxa"/>
            <w:shd w:val="clear" w:color="auto" w:fill="auto"/>
            <w:noWrap/>
            <w:vAlign w:val="center"/>
            <w:hideMark/>
          </w:tcPr>
          <w:p w14:paraId="6346060F"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31 de studenți instruiți</w:t>
            </w:r>
          </w:p>
        </w:tc>
      </w:tr>
      <w:tr w:rsidR="00E653AF" w:rsidRPr="00483DC7" w14:paraId="1E34CDB8" w14:textId="77777777" w:rsidTr="003B63AA">
        <w:trPr>
          <w:trHeight w:val="810"/>
        </w:trPr>
        <w:tc>
          <w:tcPr>
            <w:tcW w:w="1294" w:type="dxa"/>
            <w:shd w:val="clear" w:color="auto" w:fill="auto"/>
            <w:vAlign w:val="center"/>
            <w:hideMark/>
          </w:tcPr>
          <w:p w14:paraId="4F058D46"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2309979D"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420A2C11" w14:textId="6C199FA0"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29. </w:t>
            </w:r>
            <w:r w:rsidR="00E653AF" w:rsidRPr="00483DC7">
              <w:rPr>
                <w:rFonts w:ascii="Times New Roman" w:eastAsia="Times New Roman" w:hAnsi="Times New Roman" w:cs="Times New Roman"/>
                <w:i/>
                <w:iCs/>
                <w:color w:val="000000"/>
                <w:sz w:val="20"/>
                <w:szCs w:val="20"/>
                <w:lang w:val="ro-MD"/>
              </w:rPr>
              <w:t>Proiectul Modernizarea Tehnicii și Echipamentului Agricol (MAME)</w:t>
            </w:r>
          </w:p>
        </w:tc>
        <w:tc>
          <w:tcPr>
            <w:tcW w:w="1476" w:type="dxa"/>
            <w:shd w:val="clear" w:color="auto" w:fill="auto"/>
            <w:vAlign w:val="center"/>
            <w:hideMark/>
          </w:tcPr>
          <w:p w14:paraId="1B494D56"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383326,78</w:t>
            </w:r>
          </w:p>
        </w:tc>
        <w:tc>
          <w:tcPr>
            <w:tcW w:w="1703" w:type="dxa"/>
            <w:shd w:val="clear" w:color="auto" w:fill="auto"/>
            <w:noWrap/>
            <w:vAlign w:val="center"/>
            <w:hideMark/>
          </w:tcPr>
          <w:p w14:paraId="6628A8D1"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383.326,78</w:t>
            </w:r>
          </w:p>
        </w:tc>
        <w:tc>
          <w:tcPr>
            <w:tcW w:w="6525" w:type="dxa"/>
            <w:shd w:val="clear" w:color="auto" w:fill="auto"/>
            <w:noWrap/>
            <w:vAlign w:val="center"/>
            <w:hideMark/>
          </w:tcPr>
          <w:p w14:paraId="40E14C31" w14:textId="41AA98A5" w:rsidR="00E653AF" w:rsidRPr="00483DC7" w:rsidRDefault="000C0BCA"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6 tranș</w:t>
            </w:r>
            <w:r w:rsidR="00E653AF" w:rsidRPr="00483DC7">
              <w:rPr>
                <w:rFonts w:ascii="Times New Roman" w:eastAsia="Times New Roman" w:hAnsi="Times New Roman" w:cs="Times New Roman"/>
                <w:color w:val="000000"/>
                <w:sz w:val="20"/>
                <w:szCs w:val="20"/>
                <w:lang w:val="ro-MD"/>
              </w:rPr>
              <w:t>e valorificate 234 de beneficiari unici, 435 de unități de tehnică agricolă procurată/finanțată</w:t>
            </w:r>
          </w:p>
        </w:tc>
      </w:tr>
      <w:tr w:rsidR="00E653AF" w:rsidRPr="00483DC7" w14:paraId="00CD34A8" w14:textId="77777777" w:rsidTr="003B63AA">
        <w:trPr>
          <w:trHeight w:val="1500"/>
        </w:trPr>
        <w:tc>
          <w:tcPr>
            <w:tcW w:w="1294" w:type="dxa"/>
            <w:shd w:val="clear" w:color="auto" w:fill="auto"/>
            <w:vAlign w:val="center"/>
            <w:hideMark/>
          </w:tcPr>
          <w:p w14:paraId="6AC4BE1E"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18BE8088"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5F55B001" w14:textId="30910E2C"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30. Proiectul privind vâ</w:t>
            </w:r>
            <w:r w:rsidR="00E653AF" w:rsidRPr="00483DC7">
              <w:rPr>
                <w:rFonts w:ascii="Times New Roman" w:eastAsia="Times New Roman" w:hAnsi="Times New Roman" w:cs="Times New Roman"/>
                <w:i/>
                <w:iCs/>
                <w:color w:val="000000"/>
                <w:sz w:val="20"/>
                <w:szCs w:val="20"/>
                <w:lang w:val="ro-MD"/>
              </w:rPr>
              <w:t>nzarea-cumpărarea în rate a utilajelor destinate d</w:t>
            </w:r>
            <w:r w:rsidR="00E653AF" w:rsidRPr="00483DC7">
              <w:rPr>
                <w:rFonts w:ascii="Times New Roman" w:eastAsia="Times New Roman" w:hAnsi="Times New Roman" w:cs="Times New Roman"/>
                <w:b/>
                <w:bCs/>
                <w:i/>
                <w:iCs/>
                <w:color w:val="000000"/>
                <w:sz w:val="20"/>
                <w:szCs w:val="20"/>
                <w:lang w:val="ro-MD"/>
              </w:rPr>
              <w:t>omeniului zootehnic</w:t>
            </w:r>
            <w:r w:rsidR="00E653AF" w:rsidRPr="00483DC7">
              <w:rPr>
                <w:rFonts w:ascii="Times New Roman" w:eastAsia="Times New Roman" w:hAnsi="Times New Roman" w:cs="Times New Roman"/>
                <w:i/>
                <w:iCs/>
                <w:color w:val="000000"/>
                <w:sz w:val="20"/>
                <w:szCs w:val="20"/>
                <w:lang w:val="ro-MD"/>
              </w:rPr>
              <w:t xml:space="preserve"> în cadrul Proiectului „Agricultura conservativă – dezvoltarea unui sistem durabil de gestionare a solurilor din Republica Moldova ”</w:t>
            </w:r>
          </w:p>
        </w:tc>
        <w:tc>
          <w:tcPr>
            <w:tcW w:w="1476" w:type="dxa"/>
            <w:shd w:val="clear" w:color="auto" w:fill="auto"/>
            <w:vAlign w:val="center"/>
            <w:hideMark/>
          </w:tcPr>
          <w:p w14:paraId="754E04F4"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16893,31</w:t>
            </w:r>
          </w:p>
        </w:tc>
        <w:tc>
          <w:tcPr>
            <w:tcW w:w="1703" w:type="dxa"/>
            <w:shd w:val="clear" w:color="auto" w:fill="auto"/>
            <w:noWrap/>
            <w:vAlign w:val="center"/>
            <w:hideMark/>
          </w:tcPr>
          <w:p w14:paraId="4D2108BD"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16.893,31</w:t>
            </w:r>
          </w:p>
        </w:tc>
        <w:tc>
          <w:tcPr>
            <w:tcW w:w="6525" w:type="dxa"/>
            <w:shd w:val="clear" w:color="auto" w:fill="auto"/>
            <w:noWrap/>
            <w:vAlign w:val="center"/>
            <w:hideMark/>
          </w:tcPr>
          <w:p w14:paraId="07591D7F" w14:textId="7777777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31 de beneficiari unici, 38 de unități de echipamente procurate/finanțate</w:t>
            </w:r>
          </w:p>
        </w:tc>
      </w:tr>
      <w:tr w:rsidR="00E653AF" w:rsidRPr="00483DC7" w14:paraId="388ED7DD" w14:textId="77777777" w:rsidTr="003B63AA">
        <w:trPr>
          <w:trHeight w:val="80"/>
        </w:trPr>
        <w:tc>
          <w:tcPr>
            <w:tcW w:w="1294" w:type="dxa"/>
            <w:shd w:val="clear" w:color="auto" w:fill="auto"/>
            <w:vAlign w:val="center"/>
            <w:hideMark/>
          </w:tcPr>
          <w:p w14:paraId="5B69C841"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p>
        </w:tc>
        <w:tc>
          <w:tcPr>
            <w:tcW w:w="1383" w:type="dxa"/>
            <w:shd w:val="clear" w:color="000000" w:fill="D0CECE"/>
            <w:vAlign w:val="center"/>
            <w:hideMark/>
          </w:tcPr>
          <w:p w14:paraId="04343A70"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D0CECE"/>
            <w:vAlign w:val="center"/>
            <w:hideMark/>
          </w:tcPr>
          <w:p w14:paraId="62B28AF1"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D0CECE"/>
            <w:vAlign w:val="center"/>
            <w:hideMark/>
          </w:tcPr>
          <w:p w14:paraId="7689187D"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D0CECE"/>
            <w:noWrap/>
            <w:vAlign w:val="center"/>
            <w:hideMark/>
          </w:tcPr>
          <w:p w14:paraId="047D648E"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D0CECE"/>
            <w:noWrap/>
            <w:vAlign w:val="bottom"/>
            <w:hideMark/>
          </w:tcPr>
          <w:p w14:paraId="598759DA"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07AA4061" w14:textId="77777777" w:rsidTr="003B63AA">
        <w:trPr>
          <w:trHeight w:val="214"/>
        </w:trPr>
        <w:tc>
          <w:tcPr>
            <w:tcW w:w="1294" w:type="dxa"/>
            <w:shd w:val="clear" w:color="auto" w:fill="auto"/>
            <w:vAlign w:val="center"/>
            <w:hideMark/>
          </w:tcPr>
          <w:p w14:paraId="5AFC00B1"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hideMark/>
          </w:tcPr>
          <w:p w14:paraId="10B3641D"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UCIMPRSVV</w:t>
            </w:r>
          </w:p>
        </w:tc>
        <w:tc>
          <w:tcPr>
            <w:tcW w:w="1936" w:type="dxa"/>
            <w:shd w:val="clear" w:color="auto" w:fill="auto"/>
            <w:vAlign w:val="center"/>
            <w:hideMark/>
          </w:tcPr>
          <w:p w14:paraId="4D146FE5" w14:textId="3B0C694B"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31. </w:t>
            </w:r>
            <w:r w:rsidR="00E653AF" w:rsidRPr="00483DC7">
              <w:rPr>
                <w:rFonts w:ascii="Times New Roman" w:eastAsia="Times New Roman" w:hAnsi="Times New Roman" w:cs="Times New Roman"/>
                <w:i/>
                <w:iCs/>
                <w:color w:val="000000"/>
                <w:sz w:val="20"/>
                <w:szCs w:val="20"/>
                <w:lang w:val="ro-MD"/>
              </w:rPr>
              <w:t xml:space="preserve">Proiectul „Livada Moldovei” </w:t>
            </w:r>
          </w:p>
        </w:tc>
        <w:tc>
          <w:tcPr>
            <w:tcW w:w="1476" w:type="dxa"/>
            <w:shd w:val="clear" w:color="auto" w:fill="auto"/>
            <w:vAlign w:val="center"/>
            <w:hideMark/>
          </w:tcPr>
          <w:p w14:paraId="24158959" w14:textId="0CC6E442"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58</w:t>
            </w:r>
            <w:r w:rsidR="00C53AA9">
              <w:rPr>
                <w:rFonts w:ascii="Times New Roman" w:eastAsia="Times New Roman" w:hAnsi="Times New Roman" w:cs="Times New Roman"/>
                <w:color w:val="000000"/>
                <w:sz w:val="20"/>
                <w:szCs w:val="20"/>
                <w:lang w:val="ro-MD"/>
              </w:rPr>
              <w:t>.</w:t>
            </w:r>
            <w:r w:rsidRPr="00483DC7">
              <w:rPr>
                <w:rFonts w:ascii="Times New Roman" w:eastAsia="Times New Roman" w:hAnsi="Times New Roman" w:cs="Times New Roman"/>
                <w:color w:val="000000"/>
                <w:sz w:val="20"/>
                <w:szCs w:val="20"/>
                <w:lang w:val="ro-MD"/>
              </w:rPr>
              <w:t>283,35</w:t>
            </w:r>
          </w:p>
        </w:tc>
        <w:tc>
          <w:tcPr>
            <w:tcW w:w="1703" w:type="dxa"/>
            <w:shd w:val="clear" w:color="auto" w:fill="auto"/>
            <w:noWrap/>
            <w:vAlign w:val="center"/>
            <w:hideMark/>
          </w:tcPr>
          <w:p w14:paraId="6942D70C"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239.035,11</w:t>
            </w:r>
          </w:p>
        </w:tc>
        <w:tc>
          <w:tcPr>
            <w:tcW w:w="6525" w:type="dxa"/>
            <w:shd w:val="clear" w:color="auto" w:fill="auto"/>
            <w:noWrap/>
            <w:vAlign w:val="center"/>
            <w:hideMark/>
          </w:tcPr>
          <w:p w14:paraId="4440DEA5" w14:textId="61A2BEAC"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514 subproiecte investiționale</w:t>
            </w:r>
            <w:r w:rsidR="00C53AA9">
              <w:rPr>
                <w:rFonts w:ascii="Times New Roman" w:eastAsia="Times New Roman" w:hAnsi="Times New Roman" w:cs="Times New Roman"/>
                <w:color w:val="000000"/>
                <w:sz w:val="20"/>
                <w:szCs w:val="20"/>
                <w:lang w:val="ro-MD"/>
              </w:rPr>
              <w:t xml:space="preserve"> finanțate. </w:t>
            </w:r>
          </w:p>
        </w:tc>
      </w:tr>
      <w:tr w:rsidR="00E653AF" w:rsidRPr="00483DC7" w14:paraId="3C1F140C" w14:textId="77777777" w:rsidTr="003B63AA">
        <w:trPr>
          <w:trHeight w:val="105"/>
        </w:trPr>
        <w:tc>
          <w:tcPr>
            <w:tcW w:w="1294" w:type="dxa"/>
            <w:shd w:val="clear" w:color="000000" w:fill="2F75B5"/>
            <w:vAlign w:val="center"/>
            <w:hideMark/>
          </w:tcPr>
          <w:p w14:paraId="297473F3"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7390F948"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1BB82E5A"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03D6FB74"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697952ED"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noWrap/>
            <w:vAlign w:val="bottom"/>
            <w:hideMark/>
          </w:tcPr>
          <w:p w14:paraId="6E6F3A5E"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075A34A2" w14:textId="77777777" w:rsidTr="003B63AA">
        <w:trPr>
          <w:trHeight w:val="1395"/>
        </w:trPr>
        <w:tc>
          <w:tcPr>
            <w:tcW w:w="1294" w:type="dxa"/>
            <w:shd w:val="clear" w:color="auto" w:fill="auto"/>
            <w:vAlign w:val="center"/>
            <w:hideMark/>
          </w:tcPr>
          <w:p w14:paraId="0F50D96B"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Economie și consultanță</w:t>
            </w:r>
          </w:p>
        </w:tc>
        <w:tc>
          <w:tcPr>
            <w:tcW w:w="1383" w:type="dxa"/>
            <w:shd w:val="clear" w:color="auto" w:fill="auto"/>
            <w:vAlign w:val="center"/>
            <w:hideMark/>
          </w:tcPr>
          <w:p w14:paraId="2BB1952B"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UIPAC</w:t>
            </w:r>
          </w:p>
        </w:tc>
        <w:tc>
          <w:tcPr>
            <w:tcW w:w="1936" w:type="dxa"/>
            <w:shd w:val="clear" w:color="auto" w:fill="auto"/>
            <w:vAlign w:val="center"/>
            <w:hideMark/>
          </w:tcPr>
          <w:p w14:paraId="56B46E68" w14:textId="74ED0218"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32.</w:t>
            </w:r>
            <w:r w:rsidR="00E653AF" w:rsidRPr="00483DC7">
              <w:rPr>
                <w:rFonts w:ascii="Times New Roman" w:eastAsia="Times New Roman" w:hAnsi="Times New Roman" w:cs="Times New Roman"/>
                <w:i/>
                <w:iCs/>
                <w:color w:val="000000"/>
                <w:sz w:val="20"/>
                <w:szCs w:val="20"/>
                <w:lang w:val="ro-MD"/>
              </w:rPr>
              <w:t xml:space="preserve"> Proiectul de competitivitate a ÎMMM (în vigoare din 25.11.2022)</w:t>
            </w:r>
          </w:p>
        </w:tc>
        <w:tc>
          <w:tcPr>
            <w:tcW w:w="1476" w:type="dxa"/>
            <w:shd w:val="clear" w:color="auto" w:fill="auto"/>
            <w:vAlign w:val="center"/>
            <w:hideMark/>
          </w:tcPr>
          <w:p w14:paraId="62FC792D" w14:textId="0CB126D2" w:rsidR="00E653AF" w:rsidRPr="00483DC7" w:rsidRDefault="00182022"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204.205,50</w:t>
            </w:r>
          </w:p>
        </w:tc>
        <w:tc>
          <w:tcPr>
            <w:tcW w:w="1703" w:type="dxa"/>
            <w:shd w:val="clear" w:color="auto" w:fill="auto"/>
            <w:noWrap/>
            <w:vAlign w:val="center"/>
            <w:hideMark/>
          </w:tcPr>
          <w:p w14:paraId="0AC194AF" w14:textId="688A18AC" w:rsidR="00E653AF" w:rsidRPr="00483DC7" w:rsidRDefault="00182022" w:rsidP="00E653AF">
            <w:pPr>
              <w:spacing w:after="0" w:line="240" w:lineRule="auto"/>
              <w:jc w:val="center"/>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204.205,50</w:t>
            </w:r>
          </w:p>
        </w:tc>
        <w:tc>
          <w:tcPr>
            <w:tcW w:w="6525" w:type="dxa"/>
            <w:shd w:val="clear" w:color="auto" w:fill="auto"/>
            <w:vAlign w:val="center"/>
            <w:hideMark/>
          </w:tcPr>
          <w:p w14:paraId="7D1A13A8" w14:textId="4DB10947" w:rsidR="0014505C" w:rsidRDefault="00A409B6" w:rsidP="00BA1868">
            <w:pPr>
              <w:spacing w:after="0" w:line="240" w:lineRule="auto"/>
              <w:jc w:val="both"/>
              <w:rPr>
                <w:rFonts w:ascii="Times New Roman" w:eastAsia="Times New Roman" w:hAnsi="Times New Roman" w:cs="Times New Roman"/>
                <w:color w:val="000000"/>
                <w:sz w:val="20"/>
                <w:szCs w:val="20"/>
                <w:lang w:val="ro-MD"/>
              </w:rPr>
            </w:pPr>
            <w:r>
              <w:rPr>
                <w:rFonts w:ascii="Times New Roman" w:eastAsia="Times New Roman" w:hAnsi="Times New Roman" w:cs="Times New Roman"/>
                <w:color w:val="000000"/>
                <w:sz w:val="20"/>
                <w:szCs w:val="20"/>
                <w:lang w:val="ro-MD"/>
              </w:rPr>
              <w:t xml:space="preserve">Majorarea cu </w:t>
            </w:r>
            <w:r w:rsidR="00182022">
              <w:rPr>
                <w:rFonts w:ascii="Times New Roman" w:eastAsia="Times New Roman" w:hAnsi="Times New Roman" w:cs="Times New Roman"/>
                <w:color w:val="000000"/>
                <w:sz w:val="20"/>
                <w:szCs w:val="20"/>
                <w:lang w:val="ro-MD"/>
              </w:rPr>
              <w:t>53</w:t>
            </w:r>
            <w:r>
              <w:rPr>
                <w:rFonts w:ascii="Times New Roman" w:eastAsia="Times New Roman" w:hAnsi="Times New Roman" w:cs="Times New Roman"/>
                <w:color w:val="000000"/>
                <w:sz w:val="20"/>
                <w:szCs w:val="20"/>
                <w:lang w:val="ro-MD"/>
              </w:rPr>
              <w:t>% a cererilor depuse</w:t>
            </w:r>
            <w:r w:rsidR="00182022">
              <w:rPr>
                <w:rFonts w:ascii="Times New Roman" w:eastAsia="Times New Roman" w:hAnsi="Times New Roman" w:cs="Times New Roman"/>
                <w:color w:val="000000"/>
                <w:sz w:val="20"/>
                <w:szCs w:val="20"/>
                <w:lang w:val="ro-MD"/>
              </w:rPr>
              <w:t xml:space="preserve"> online prin Sistemul Informațional Automatizat de Gestionare și Eliberare a Actelor Permisive (SIA GEAP)</w:t>
            </w:r>
            <w:r w:rsidR="00E653AF" w:rsidRPr="00483DC7">
              <w:rPr>
                <w:rFonts w:ascii="Times New Roman" w:eastAsia="Times New Roman" w:hAnsi="Times New Roman" w:cs="Times New Roman"/>
                <w:color w:val="000000"/>
                <w:sz w:val="20"/>
                <w:szCs w:val="20"/>
                <w:lang w:val="ro-MD"/>
              </w:rPr>
              <w:t>; o tranșă în valoare de 187</w:t>
            </w:r>
            <w:r>
              <w:rPr>
                <w:rFonts w:ascii="Times New Roman" w:eastAsia="Times New Roman" w:hAnsi="Times New Roman" w:cs="Times New Roman"/>
                <w:color w:val="000000"/>
                <w:sz w:val="20"/>
                <w:szCs w:val="20"/>
                <w:lang w:val="ro-MD"/>
              </w:rPr>
              <w:t>.</w:t>
            </w:r>
            <w:r w:rsidR="00E653AF" w:rsidRPr="00483DC7">
              <w:rPr>
                <w:rFonts w:ascii="Times New Roman" w:eastAsia="Times New Roman" w:hAnsi="Times New Roman" w:cs="Times New Roman"/>
                <w:color w:val="000000"/>
                <w:sz w:val="20"/>
                <w:szCs w:val="20"/>
                <w:lang w:val="ro-MD"/>
              </w:rPr>
              <w:t xml:space="preserve">883,3 mii lei debursată către ODA pentru capitalizarea fondului de garantare a creditelor. </w:t>
            </w:r>
          </w:p>
          <w:p w14:paraId="3F71AF2D" w14:textId="74E48047" w:rsidR="00E653AF" w:rsidRPr="00483DC7" w:rsidRDefault="00E653AF" w:rsidP="00BA1868">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17 contracte de finanțare prin grant ale beneficiarilor semnate cu ODA, volumul exporturilor generate de</w:t>
            </w:r>
            <w:r w:rsidR="00BA1868" w:rsidRPr="00483DC7">
              <w:rPr>
                <w:rFonts w:ascii="Times New Roman" w:eastAsia="Times New Roman" w:hAnsi="Times New Roman" w:cs="Times New Roman"/>
                <w:color w:val="000000"/>
                <w:sz w:val="20"/>
                <w:szCs w:val="20"/>
                <w:lang w:val="ro-MD"/>
              </w:rPr>
              <w:t xml:space="preserve"> 57 companii</w:t>
            </w:r>
            <w:r w:rsidRPr="00483DC7">
              <w:rPr>
                <w:rFonts w:ascii="Times New Roman" w:eastAsia="Times New Roman" w:hAnsi="Times New Roman" w:cs="Times New Roman"/>
                <w:color w:val="000000"/>
                <w:sz w:val="20"/>
                <w:szCs w:val="20"/>
                <w:lang w:val="ro-MD"/>
              </w:rPr>
              <w:t xml:space="preserve"> beneficiare al Proiectului a constituit 41,77 mil lei; 6 studii realizate privind condițiile și oportunitățile de export.</w:t>
            </w:r>
          </w:p>
        </w:tc>
      </w:tr>
      <w:tr w:rsidR="00E653AF" w:rsidRPr="00483DC7" w14:paraId="0160A4A9" w14:textId="77777777" w:rsidTr="003B63AA">
        <w:trPr>
          <w:trHeight w:val="120"/>
        </w:trPr>
        <w:tc>
          <w:tcPr>
            <w:tcW w:w="1294" w:type="dxa"/>
            <w:shd w:val="clear" w:color="auto" w:fill="auto"/>
            <w:vAlign w:val="center"/>
            <w:hideMark/>
          </w:tcPr>
          <w:p w14:paraId="2AA1D1D1"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p>
        </w:tc>
        <w:tc>
          <w:tcPr>
            <w:tcW w:w="1383" w:type="dxa"/>
            <w:shd w:val="clear" w:color="000000" w:fill="AEAAAA"/>
            <w:vAlign w:val="center"/>
            <w:hideMark/>
          </w:tcPr>
          <w:p w14:paraId="1CFB03CA"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AEAAAA"/>
            <w:vAlign w:val="center"/>
            <w:hideMark/>
          </w:tcPr>
          <w:p w14:paraId="64CD0D16"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AEAAAA"/>
            <w:vAlign w:val="center"/>
            <w:hideMark/>
          </w:tcPr>
          <w:p w14:paraId="297BE161"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AEAAAA"/>
            <w:noWrap/>
            <w:vAlign w:val="center"/>
            <w:hideMark/>
          </w:tcPr>
          <w:p w14:paraId="10821EA8"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AEAAAA"/>
            <w:noWrap/>
            <w:vAlign w:val="bottom"/>
            <w:hideMark/>
          </w:tcPr>
          <w:p w14:paraId="6ADED364"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2E2AD79F" w14:textId="77777777" w:rsidTr="003B63AA">
        <w:trPr>
          <w:trHeight w:val="3390"/>
        </w:trPr>
        <w:tc>
          <w:tcPr>
            <w:tcW w:w="1294" w:type="dxa"/>
            <w:shd w:val="clear" w:color="auto" w:fill="auto"/>
            <w:vAlign w:val="center"/>
            <w:hideMark/>
          </w:tcPr>
          <w:p w14:paraId="73998849"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640E4EC1"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OGPAE</w:t>
            </w:r>
          </w:p>
        </w:tc>
        <w:tc>
          <w:tcPr>
            <w:tcW w:w="1936" w:type="dxa"/>
            <w:shd w:val="clear" w:color="auto" w:fill="auto"/>
            <w:vAlign w:val="center"/>
            <w:hideMark/>
          </w:tcPr>
          <w:p w14:paraId="13F03F9F" w14:textId="18157106"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33. </w:t>
            </w:r>
            <w:r w:rsidR="00E653AF" w:rsidRPr="00483DC7">
              <w:rPr>
                <w:rFonts w:ascii="Times New Roman" w:eastAsia="Times New Roman" w:hAnsi="Times New Roman" w:cs="Times New Roman"/>
                <w:i/>
                <w:iCs/>
                <w:color w:val="000000"/>
                <w:sz w:val="20"/>
                <w:szCs w:val="20"/>
                <w:lang w:val="ro-MD"/>
              </w:rPr>
              <w:t>Proiectul „Răspuns de urgență la COVID-19:Suport pentru ÎMMM” și  Componenta Sănătate</w:t>
            </w:r>
          </w:p>
        </w:tc>
        <w:tc>
          <w:tcPr>
            <w:tcW w:w="1476" w:type="dxa"/>
            <w:shd w:val="clear" w:color="auto" w:fill="auto"/>
            <w:vAlign w:val="center"/>
            <w:hideMark/>
          </w:tcPr>
          <w:p w14:paraId="02C573C2"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945.544,50</w:t>
            </w:r>
          </w:p>
        </w:tc>
        <w:tc>
          <w:tcPr>
            <w:tcW w:w="1703" w:type="dxa"/>
            <w:shd w:val="clear" w:color="auto" w:fill="auto"/>
            <w:noWrap/>
            <w:vAlign w:val="center"/>
            <w:hideMark/>
          </w:tcPr>
          <w:p w14:paraId="6BF68768"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945.544,50</w:t>
            </w:r>
          </w:p>
        </w:tc>
        <w:tc>
          <w:tcPr>
            <w:tcW w:w="6525" w:type="dxa"/>
            <w:shd w:val="clear" w:color="auto" w:fill="auto"/>
            <w:hideMark/>
          </w:tcPr>
          <w:p w14:paraId="6BB587E2" w14:textId="75080247" w:rsidR="00E653AF" w:rsidRPr="00483DC7" w:rsidRDefault="00E653AF" w:rsidP="00E653AF">
            <w:pPr>
              <w:spacing w:after="0" w:line="240" w:lineRule="auto"/>
              <w:jc w:val="both"/>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 xml:space="preserve">În cadrul componentei </w:t>
            </w:r>
            <w:r w:rsidRPr="00483DC7">
              <w:rPr>
                <w:rFonts w:ascii="Times New Roman" w:eastAsia="Times New Roman" w:hAnsi="Times New Roman" w:cs="Times New Roman"/>
                <w:b/>
                <w:bCs/>
                <w:color w:val="000000"/>
                <w:sz w:val="20"/>
                <w:szCs w:val="20"/>
                <w:lang w:val="ro-MD"/>
              </w:rPr>
              <w:t>„Suport pentru ÎMMM”</w:t>
            </w:r>
            <w:r w:rsidRPr="00483DC7">
              <w:rPr>
                <w:rFonts w:ascii="Times New Roman" w:eastAsia="Times New Roman" w:hAnsi="Times New Roman" w:cs="Times New Roman"/>
                <w:color w:val="000000"/>
                <w:sz w:val="20"/>
                <w:szCs w:val="20"/>
                <w:lang w:val="ro-MD"/>
              </w:rPr>
              <w:t xml:space="preserve">, au beneficiat de suport financiar 664 de beneficiari, către acre s-au acordat resurse financiare în valoare de 595,94 mil lei. În cadrul componentei </w:t>
            </w:r>
            <w:r w:rsidRPr="00483DC7">
              <w:rPr>
                <w:rFonts w:ascii="Times New Roman" w:eastAsia="Times New Roman" w:hAnsi="Times New Roman" w:cs="Times New Roman"/>
                <w:b/>
                <w:bCs/>
                <w:color w:val="000000"/>
                <w:sz w:val="20"/>
                <w:szCs w:val="20"/>
                <w:lang w:val="ro-MD"/>
              </w:rPr>
              <w:t>„Sănătate”</w:t>
            </w:r>
            <w:r w:rsidRPr="00483DC7">
              <w:rPr>
                <w:rFonts w:ascii="Times New Roman" w:eastAsia="Times New Roman" w:hAnsi="Times New Roman" w:cs="Times New Roman"/>
                <w:color w:val="000000"/>
                <w:sz w:val="20"/>
                <w:szCs w:val="20"/>
                <w:lang w:val="ro-MD"/>
              </w:rPr>
              <w:t xml:space="preserve"> instituțiile medicale din țară, în perioada 2022-2023 au fost asigurate și dotate cu diverse medicamente, kituri și echipamente necesare atât pentru </w:t>
            </w:r>
            <w:r w:rsidR="000C0BCA" w:rsidRPr="00483DC7">
              <w:rPr>
                <w:rFonts w:ascii="Times New Roman" w:eastAsia="Times New Roman" w:hAnsi="Times New Roman" w:cs="Times New Roman"/>
                <w:color w:val="000000"/>
                <w:sz w:val="20"/>
                <w:szCs w:val="20"/>
                <w:lang w:val="ro-MD"/>
              </w:rPr>
              <w:t>contracararea</w:t>
            </w:r>
            <w:r w:rsidRPr="00483DC7">
              <w:rPr>
                <w:rFonts w:ascii="Times New Roman" w:eastAsia="Times New Roman" w:hAnsi="Times New Roman" w:cs="Times New Roman"/>
                <w:color w:val="000000"/>
                <w:sz w:val="20"/>
                <w:szCs w:val="20"/>
                <w:lang w:val="ro-MD"/>
              </w:rPr>
              <w:t xml:space="preserve"> Virusului COVID-19, cât și pentru utilizare în activitatea de prestare a serviciilor în domeniul sănătății publice curente: Anti COVID-19, doze de vaccine - 700.830;  Soluție de clorid, ampule - 215.000 ; Seringi pentru administrarea vaccinurilor - 1.500.000; Teste de diagnostic rapid Ag SARS-CoV-2 - 700.000; Truse de prelevare a probelor pentru material viral - 40.000; Analizatoare automate de gaze din sânge și electroliți – 60; Tomografe computerizate – 9 bucăți; scanere cu ultrasunete – 22 bucăți; generatoare de oxygen – 35 bucăți; aparate digitale Roentgen  12 bucăți; Respiratoare  - 300.000 buc; defibrilatoare externe – 4; electrocardiografe – 88 bucăți; kituri pentru extragerea acidului nucleic – 120.000 bucăți; kituri de determinare a virusurilor – 19.200 buc;  Kit pentru detectarea RT-PCR a virusului SARS-CoV-2 – 140.000 buc; radiografe mobile – 30 unități; medicamente remdesivirum – 3000 ampule; Medicamente cu tocilizumabum – 2000 ampule; </w:t>
            </w:r>
          </w:p>
        </w:tc>
      </w:tr>
      <w:tr w:rsidR="00E653AF" w:rsidRPr="00483DC7" w14:paraId="4F15B91B" w14:textId="77777777" w:rsidTr="003B63AA">
        <w:trPr>
          <w:trHeight w:val="1050"/>
        </w:trPr>
        <w:tc>
          <w:tcPr>
            <w:tcW w:w="1294" w:type="dxa"/>
            <w:shd w:val="clear" w:color="auto" w:fill="auto"/>
            <w:vAlign w:val="center"/>
            <w:hideMark/>
          </w:tcPr>
          <w:p w14:paraId="3C9EC59B"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p>
        </w:tc>
        <w:tc>
          <w:tcPr>
            <w:tcW w:w="1383" w:type="dxa"/>
            <w:shd w:val="clear" w:color="auto" w:fill="auto"/>
            <w:vAlign w:val="center"/>
            <w:hideMark/>
          </w:tcPr>
          <w:p w14:paraId="320F92CB"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1A7F342A" w14:textId="2D9A37AD"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34. </w:t>
            </w:r>
            <w:r w:rsidR="00E653AF" w:rsidRPr="00483DC7">
              <w:rPr>
                <w:rFonts w:ascii="Times New Roman" w:eastAsia="Times New Roman" w:hAnsi="Times New Roman" w:cs="Times New Roman"/>
                <w:i/>
                <w:iCs/>
                <w:color w:val="000000"/>
                <w:sz w:val="20"/>
                <w:szCs w:val="20"/>
                <w:lang w:val="ro-MD"/>
              </w:rPr>
              <w:t>Proiectul „Suport pentru Secretariatul tehnic comun al Programului Operațional Comun România – Republica Moldova”</w:t>
            </w:r>
          </w:p>
        </w:tc>
        <w:tc>
          <w:tcPr>
            <w:tcW w:w="1476" w:type="dxa"/>
            <w:shd w:val="clear" w:color="auto" w:fill="auto"/>
            <w:vAlign w:val="center"/>
            <w:hideMark/>
          </w:tcPr>
          <w:p w14:paraId="1D00EE80"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1.368.996,16</w:t>
            </w:r>
          </w:p>
        </w:tc>
        <w:tc>
          <w:tcPr>
            <w:tcW w:w="1703" w:type="dxa"/>
            <w:shd w:val="clear" w:color="auto" w:fill="auto"/>
            <w:noWrap/>
            <w:vAlign w:val="center"/>
            <w:hideMark/>
          </w:tcPr>
          <w:p w14:paraId="47CA63A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1.368.996,16</w:t>
            </w:r>
          </w:p>
        </w:tc>
        <w:tc>
          <w:tcPr>
            <w:tcW w:w="6525" w:type="dxa"/>
            <w:shd w:val="clear" w:color="auto" w:fill="auto"/>
            <w:vAlign w:val="center"/>
            <w:hideMark/>
          </w:tcPr>
          <w:p w14:paraId="3A5E4F51" w14:textId="5B041607" w:rsidR="00E653AF" w:rsidRPr="00483DC7" w:rsidRDefault="00E653AF" w:rsidP="00E653AF">
            <w:pPr>
              <w:spacing w:after="0" w:line="240" w:lineRule="auto"/>
              <w:jc w:val="both"/>
              <w:rPr>
                <w:rFonts w:ascii="Times New Roman" w:eastAsia="Times New Roman" w:hAnsi="Times New Roman" w:cs="Times New Roman"/>
                <w:sz w:val="20"/>
                <w:szCs w:val="20"/>
                <w:lang w:val="ro-MD"/>
              </w:rPr>
            </w:pPr>
            <w:r w:rsidRPr="00483DC7">
              <w:rPr>
                <w:rFonts w:ascii="Times New Roman" w:eastAsia="Times New Roman" w:hAnsi="Times New Roman" w:cs="Times New Roman"/>
                <w:sz w:val="20"/>
                <w:szCs w:val="20"/>
                <w:lang w:val="ro-MD"/>
              </w:rPr>
              <w:t>84 de proiecte (58 pro</w:t>
            </w:r>
            <w:r w:rsidR="000C0BCA" w:rsidRPr="00483DC7">
              <w:rPr>
                <w:rFonts w:ascii="Times New Roman" w:eastAsia="Times New Roman" w:hAnsi="Times New Roman" w:cs="Times New Roman"/>
                <w:sz w:val="20"/>
                <w:szCs w:val="20"/>
                <w:lang w:val="ro-MD"/>
              </w:rPr>
              <w:t>i</w:t>
            </w:r>
            <w:r w:rsidRPr="00483DC7">
              <w:rPr>
                <w:rFonts w:ascii="Times New Roman" w:eastAsia="Times New Roman" w:hAnsi="Times New Roman" w:cs="Times New Roman"/>
                <w:sz w:val="20"/>
                <w:szCs w:val="20"/>
                <w:lang w:val="ro-MD"/>
              </w:rPr>
              <w:t>e</w:t>
            </w:r>
            <w:r w:rsidR="000C0BCA" w:rsidRPr="00483DC7">
              <w:rPr>
                <w:rFonts w:ascii="Times New Roman" w:eastAsia="Times New Roman" w:hAnsi="Times New Roman" w:cs="Times New Roman"/>
                <w:sz w:val="20"/>
                <w:szCs w:val="20"/>
                <w:lang w:val="ro-MD"/>
              </w:rPr>
              <w:t>cte soft, 19 proiecte hard, 4 p</w:t>
            </w:r>
            <w:r w:rsidRPr="00483DC7">
              <w:rPr>
                <w:rFonts w:ascii="Times New Roman" w:eastAsia="Times New Roman" w:hAnsi="Times New Roman" w:cs="Times New Roman"/>
                <w:sz w:val="20"/>
                <w:szCs w:val="20"/>
                <w:lang w:val="ro-MD"/>
              </w:rPr>
              <w:t>r</w:t>
            </w:r>
            <w:r w:rsidR="000C0BCA" w:rsidRPr="00483DC7">
              <w:rPr>
                <w:rFonts w:ascii="Times New Roman" w:eastAsia="Times New Roman" w:hAnsi="Times New Roman" w:cs="Times New Roman"/>
                <w:sz w:val="20"/>
                <w:szCs w:val="20"/>
                <w:lang w:val="ro-MD"/>
              </w:rPr>
              <w:t>o</w:t>
            </w:r>
            <w:r w:rsidRPr="00483DC7">
              <w:rPr>
                <w:rFonts w:ascii="Times New Roman" w:eastAsia="Times New Roman" w:hAnsi="Times New Roman" w:cs="Times New Roman"/>
                <w:sz w:val="20"/>
                <w:szCs w:val="20"/>
                <w:lang w:val="ro-MD"/>
              </w:rPr>
              <w:t>iecte de infrastructură largă)</w:t>
            </w:r>
          </w:p>
        </w:tc>
      </w:tr>
      <w:tr w:rsidR="00E653AF" w:rsidRPr="00483DC7" w14:paraId="275653FD" w14:textId="77777777" w:rsidTr="003B63AA">
        <w:trPr>
          <w:trHeight w:val="735"/>
        </w:trPr>
        <w:tc>
          <w:tcPr>
            <w:tcW w:w="1294" w:type="dxa"/>
            <w:shd w:val="clear" w:color="auto" w:fill="auto"/>
            <w:noWrap/>
            <w:vAlign w:val="bottom"/>
            <w:hideMark/>
          </w:tcPr>
          <w:p w14:paraId="0F6B231E"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383" w:type="dxa"/>
            <w:shd w:val="clear" w:color="auto" w:fill="auto"/>
            <w:vAlign w:val="center"/>
            <w:hideMark/>
          </w:tcPr>
          <w:p w14:paraId="1C2EF55D" w14:textId="77777777" w:rsidR="00E653AF" w:rsidRPr="00483DC7" w:rsidRDefault="00E653AF" w:rsidP="00E653AF">
            <w:pPr>
              <w:spacing w:after="0" w:line="240" w:lineRule="auto"/>
              <w:rPr>
                <w:rFonts w:ascii="Times New Roman" w:eastAsia="Times New Roman" w:hAnsi="Times New Roman" w:cs="Times New Roman"/>
                <w:sz w:val="20"/>
                <w:szCs w:val="20"/>
                <w:lang w:val="ro-MD"/>
              </w:rPr>
            </w:pPr>
          </w:p>
        </w:tc>
        <w:tc>
          <w:tcPr>
            <w:tcW w:w="1936" w:type="dxa"/>
            <w:shd w:val="clear" w:color="auto" w:fill="auto"/>
            <w:vAlign w:val="center"/>
            <w:hideMark/>
          </w:tcPr>
          <w:p w14:paraId="5087C4DB" w14:textId="7698594E"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35. </w:t>
            </w:r>
            <w:r w:rsidR="00E653AF" w:rsidRPr="00483DC7">
              <w:rPr>
                <w:rFonts w:ascii="Times New Roman" w:eastAsia="Times New Roman" w:hAnsi="Times New Roman" w:cs="Times New Roman"/>
                <w:i/>
                <w:iCs/>
                <w:color w:val="000000"/>
                <w:sz w:val="20"/>
                <w:szCs w:val="20"/>
                <w:lang w:val="ro-MD"/>
              </w:rPr>
              <w:t>Proiectul „Suport pentru Programul Transnațional Dunărea”</w:t>
            </w:r>
          </w:p>
        </w:tc>
        <w:tc>
          <w:tcPr>
            <w:tcW w:w="1476" w:type="dxa"/>
            <w:shd w:val="clear" w:color="auto" w:fill="auto"/>
            <w:vAlign w:val="center"/>
            <w:hideMark/>
          </w:tcPr>
          <w:p w14:paraId="0397D7C2"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29.665,59</w:t>
            </w:r>
          </w:p>
        </w:tc>
        <w:tc>
          <w:tcPr>
            <w:tcW w:w="1703" w:type="dxa"/>
            <w:shd w:val="clear" w:color="auto" w:fill="auto"/>
            <w:noWrap/>
            <w:vAlign w:val="center"/>
            <w:hideMark/>
          </w:tcPr>
          <w:p w14:paraId="733CEAEA"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29.665,59</w:t>
            </w:r>
          </w:p>
        </w:tc>
        <w:tc>
          <w:tcPr>
            <w:tcW w:w="6525" w:type="dxa"/>
            <w:shd w:val="clear" w:color="auto" w:fill="auto"/>
            <w:noWrap/>
            <w:vAlign w:val="center"/>
            <w:hideMark/>
          </w:tcPr>
          <w:p w14:paraId="030D111E" w14:textId="77777777" w:rsidR="00E653AF" w:rsidRPr="00483DC7" w:rsidRDefault="00E653AF" w:rsidP="00E653AF">
            <w:pPr>
              <w:spacing w:after="0" w:line="240" w:lineRule="auto"/>
              <w:jc w:val="both"/>
              <w:rPr>
                <w:rFonts w:ascii="Times New Roman" w:eastAsia="Times New Roman" w:hAnsi="Times New Roman" w:cs="Times New Roman"/>
                <w:sz w:val="20"/>
                <w:szCs w:val="20"/>
                <w:lang w:val="ro-MD"/>
              </w:rPr>
            </w:pPr>
            <w:r w:rsidRPr="00483DC7">
              <w:rPr>
                <w:rFonts w:ascii="Times New Roman" w:eastAsia="Times New Roman" w:hAnsi="Times New Roman" w:cs="Times New Roman"/>
                <w:sz w:val="20"/>
                <w:szCs w:val="20"/>
                <w:lang w:val="ro-MD"/>
              </w:rPr>
              <w:t>15 de proiecte</w:t>
            </w:r>
          </w:p>
        </w:tc>
      </w:tr>
      <w:tr w:rsidR="00E653AF" w:rsidRPr="00483DC7" w14:paraId="0CC83040" w14:textId="77777777" w:rsidTr="003B63AA">
        <w:trPr>
          <w:trHeight w:val="105"/>
        </w:trPr>
        <w:tc>
          <w:tcPr>
            <w:tcW w:w="1294" w:type="dxa"/>
            <w:shd w:val="clear" w:color="000000" w:fill="2F75B5"/>
            <w:noWrap/>
            <w:vAlign w:val="bottom"/>
            <w:hideMark/>
          </w:tcPr>
          <w:p w14:paraId="35E0CB35"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383" w:type="dxa"/>
            <w:shd w:val="clear" w:color="000000" w:fill="2F75B5"/>
            <w:vAlign w:val="center"/>
            <w:hideMark/>
          </w:tcPr>
          <w:p w14:paraId="0BE086E0" w14:textId="77777777" w:rsidR="00E653AF" w:rsidRPr="00483DC7" w:rsidRDefault="00E653AF" w:rsidP="00E653AF">
            <w:pPr>
              <w:spacing w:after="0" w:line="240" w:lineRule="auto"/>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936" w:type="dxa"/>
            <w:shd w:val="clear" w:color="000000" w:fill="2F75B5"/>
            <w:vAlign w:val="center"/>
            <w:hideMark/>
          </w:tcPr>
          <w:p w14:paraId="3FA2F1F4" w14:textId="77777777" w:rsidR="00E653AF" w:rsidRPr="00483DC7" w:rsidRDefault="00E653AF" w:rsidP="00E653AF">
            <w:pPr>
              <w:spacing w:after="0" w:line="240" w:lineRule="auto"/>
              <w:rPr>
                <w:rFonts w:ascii="Times New Roman" w:eastAsia="Times New Roman" w:hAnsi="Times New Roman" w:cs="Times New Roman"/>
                <w:i/>
                <w:iCs/>
                <w:color w:val="000000"/>
                <w:sz w:val="4"/>
                <w:szCs w:val="4"/>
                <w:lang w:val="ro-MD"/>
              </w:rPr>
            </w:pPr>
            <w:r w:rsidRPr="00483DC7">
              <w:rPr>
                <w:rFonts w:ascii="Times New Roman" w:eastAsia="Times New Roman" w:hAnsi="Times New Roman" w:cs="Times New Roman"/>
                <w:i/>
                <w:iCs/>
                <w:color w:val="000000"/>
                <w:sz w:val="4"/>
                <w:szCs w:val="4"/>
                <w:lang w:val="ro-MD"/>
              </w:rPr>
              <w:t> </w:t>
            </w:r>
          </w:p>
        </w:tc>
        <w:tc>
          <w:tcPr>
            <w:tcW w:w="1476" w:type="dxa"/>
            <w:shd w:val="clear" w:color="000000" w:fill="2F75B5"/>
            <w:vAlign w:val="center"/>
            <w:hideMark/>
          </w:tcPr>
          <w:p w14:paraId="6928E86B"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1703" w:type="dxa"/>
            <w:shd w:val="clear" w:color="000000" w:fill="2F75B5"/>
            <w:noWrap/>
            <w:vAlign w:val="center"/>
            <w:hideMark/>
          </w:tcPr>
          <w:p w14:paraId="61693559" w14:textId="77777777" w:rsidR="00E653AF" w:rsidRPr="00483DC7" w:rsidRDefault="00E653AF" w:rsidP="00E653AF">
            <w:pPr>
              <w:spacing w:after="0" w:line="240" w:lineRule="auto"/>
              <w:jc w:val="center"/>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c>
          <w:tcPr>
            <w:tcW w:w="6525" w:type="dxa"/>
            <w:shd w:val="clear" w:color="000000" w:fill="2F75B5"/>
            <w:noWrap/>
            <w:vAlign w:val="bottom"/>
            <w:hideMark/>
          </w:tcPr>
          <w:p w14:paraId="1C30876D" w14:textId="77777777" w:rsidR="00E653AF" w:rsidRPr="00483DC7" w:rsidRDefault="00E653AF" w:rsidP="00E653AF">
            <w:pPr>
              <w:spacing w:after="0" w:line="240" w:lineRule="auto"/>
              <w:jc w:val="both"/>
              <w:rPr>
                <w:rFonts w:ascii="Times New Roman" w:eastAsia="Times New Roman" w:hAnsi="Times New Roman" w:cs="Times New Roman"/>
                <w:color w:val="000000"/>
                <w:sz w:val="4"/>
                <w:szCs w:val="4"/>
                <w:lang w:val="ro-MD"/>
              </w:rPr>
            </w:pPr>
            <w:r w:rsidRPr="00483DC7">
              <w:rPr>
                <w:rFonts w:ascii="Times New Roman" w:eastAsia="Times New Roman" w:hAnsi="Times New Roman" w:cs="Times New Roman"/>
                <w:color w:val="000000"/>
                <w:sz w:val="4"/>
                <w:szCs w:val="4"/>
                <w:lang w:val="ro-MD"/>
              </w:rPr>
              <w:t> </w:t>
            </w:r>
          </w:p>
        </w:tc>
      </w:tr>
      <w:tr w:rsidR="00E653AF" w:rsidRPr="00483DC7" w14:paraId="7EB2826B" w14:textId="77777777" w:rsidTr="003B63AA">
        <w:trPr>
          <w:trHeight w:val="2958"/>
        </w:trPr>
        <w:tc>
          <w:tcPr>
            <w:tcW w:w="1294" w:type="dxa"/>
            <w:shd w:val="clear" w:color="auto" w:fill="auto"/>
            <w:noWrap/>
            <w:vAlign w:val="center"/>
            <w:hideMark/>
          </w:tcPr>
          <w:p w14:paraId="76EFBDF2"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Sănătate Publică</w:t>
            </w:r>
          </w:p>
        </w:tc>
        <w:tc>
          <w:tcPr>
            <w:tcW w:w="1383" w:type="dxa"/>
            <w:shd w:val="clear" w:color="auto" w:fill="auto"/>
            <w:vAlign w:val="center"/>
            <w:hideMark/>
          </w:tcPr>
          <w:p w14:paraId="6656DDAE" w14:textId="77777777" w:rsidR="00E653AF" w:rsidRPr="00483DC7" w:rsidRDefault="00E653AF" w:rsidP="00E653AF">
            <w:pPr>
              <w:spacing w:after="0" w:line="240" w:lineRule="auto"/>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IP UCIMPDS</w:t>
            </w:r>
          </w:p>
        </w:tc>
        <w:tc>
          <w:tcPr>
            <w:tcW w:w="1936" w:type="dxa"/>
            <w:shd w:val="clear" w:color="auto" w:fill="auto"/>
            <w:vAlign w:val="center"/>
            <w:hideMark/>
          </w:tcPr>
          <w:p w14:paraId="2D83444A" w14:textId="788B83A7" w:rsidR="00E653AF" w:rsidRPr="00483DC7" w:rsidRDefault="000C0BCA" w:rsidP="00E653AF">
            <w:pPr>
              <w:spacing w:after="0" w:line="240" w:lineRule="auto"/>
              <w:rPr>
                <w:rFonts w:ascii="Times New Roman" w:eastAsia="Times New Roman" w:hAnsi="Times New Roman" w:cs="Times New Roman"/>
                <w:i/>
                <w:iCs/>
                <w:color w:val="000000"/>
                <w:sz w:val="20"/>
                <w:szCs w:val="20"/>
                <w:lang w:val="ro-MD"/>
              </w:rPr>
            </w:pPr>
            <w:r w:rsidRPr="00483DC7">
              <w:rPr>
                <w:rFonts w:ascii="Times New Roman" w:eastAsia="Times New Roman" w:hAnsi="Times New Roman" w:cs="Times New Roman"/>
                <w:i/>
                <w:iCs/>
                <w:color w:val="000000"/>
                <w:sz w:val="20"/>
                <w:szCs w:val="20"/>
                <w:lang w:val="ro-MD"/>
              </w:rPr>
              <w:t xml:space="preserve">36. </w:t>
            </w:r>
            <w:r w:rsidR="00E653AF" w:rsidRPr="00483DC7">
              <w:rPr>
                <w:rFonts w:ascii="Times New Roman" w:eastAsia="Times New Roman" w:hAnsi="Times New Roman" w:cs="Times New Roman"/>
                <w:i/>
                <w:iCs/>
                <w:color w:val="000000"/>
                <w:sz w:val="20"/>
                <w:szCs w:val="20"/>
                <w:lang w:val="ro-MD"/>
              </w:rPr>
              <w:t>Programul de profilaxie și control al infecției HIV/SIDA/ infecțiilor cu transmitere sexuala/ tuberculozei în Moldova</w:t>
            </w:r>
          </w:p>
        </w:tc>
        <w:tc>
          <w:tcPr>
            <w:tcW w:w="1476" w:type="dxa"/>
            <w:shd w:val="clear" w:color="auto" w:fill="auto"/>
            <w:vAlign w:val="center"/>
            <w:hideMark/>
          </w:tcPr>
          <w:p w14:paraId="1FDF89D3"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206.854,00</w:t>
            </w:r>
          </w:p>
        </w:tc>
        <w:tc>
          <w:tcPr>
            <w:tcW w:w="1703" w:type="dxa"/>
            <w:shd w:val="clear" w:color="auto" w:fill="auto"/>
            <w:noWrap/>
            <w:vAlign w:val="center"/>
            <w:hideMark/>
          </w:tcPr>
          <w:p w14:paraId="5DB72D4E" w14:textId="77777777" w:rsidR="00E653AF" w:rsidRPr="00483DC7" w:rsidRDefault="00E653AF" w:rsidP="00E653AF">
            <w:pPr>
              <w:spacing w:after="0" w:line="240" w:lineRule="auto"/>
              <w:jc w:val="center"/>
              <w:rPr>
                <w:rFonts w:ascii="Times New Roman" w:eastAsia="Times New Roman" w:hAnsi="Times New Roman" w:cs="Times New Roman"/>
                <w:color w:val="000000"/>
                <w:sz w:val="20"/>
                <w:szCs w:val="20"/>
                <w:lang w:val="ro-MD"/>
              </w:rPr>
            </w:pPr>
            <w:r w:rsidRPr="00483DC7">
              <w:rPr>
                <w:rFonts w:ascii="Times New Roman" w:eastAsia="Times New Roman" w:hAnsi="Times New Roman" w:cs="Times New Roman"/>
                <w:color w:val="000000"/>
                <w:sz w:val="20"/>
                <w:szCs w:val="20"/>
                <w:lang w:val="ro-MD"/>
              </w:rPr>
              <w:t>268.287,20</w:t>
            </w:r>
          </w:p>
        </w:tc>
        <w:tc>
          <w:tcPr>
            <w:tcW w:w="6525" w:type="dxa"/>
            <w:shd w:val="clear" w:color="auto" w:fill="auto"/>
            <w:vAlign w:val="center"/>
            <w:hideMark/>
          </w:tcPr>
          <w:p w14:paraId="1AA02CD2" w14:textId="0A1B9A9A" w:rsidR="00FD2D5B" w:rsidRPr="00483DC7" w:rsidRDefault="00FD2D5B" w:rsidP="00FD2D5B">
            <w:pPr>
              <w:spacing w:after="0"/>
              <w:ind w:firstLine="709"/>
              <w:jc w:val="both"/>
              <w:rPr>
                <w:rFonts w:ascii="Times New Roman" w:hAnsi="Times New Roman" w:cs="Times New Roman"/>
                <w:sz w:val="20"/>
                <w:szCs w:val="20"/>
                <w:lang w:val="ro-MD"/>
              </w:rPr>
            </w:pPr>
            <w:r w:rsidRPr="00483DC7">
              <w:rPr>
                <w:rFonts w:ascii="Times New Roman" w:eastAsia="Times New Roman" w:hAnsi="Times New Roman" w:cs="Times New Roman"/>
                <w:color w:val="000000"/>
                <w:sz w:val="20"/>
                <w:szCs w:val="20"/>
                <w:lang w:val="ro-MD"/>
              </w:rPr>
              <w:t xml:space="preserve"> </w:t>
            </w:r>
            <w:r w:rsidRPr="00483DC7">
              <w:rPr>
                <w:rFonts w:ascii="Times New Roman" w:hAnsi="Times New Roman" w:cs="Times New Roman"/>
                <w:sz w:val="20"/>
                <w:szCs w:val="20"/>
                <w:lang w:val="ro-MD"/>
              </w:rPr>
              <w:t>Programul este implementat, începând cu anul 2003, cu extindere continuă a perioadelor de finanțare a acestuia. Ultima perioadă de implementare fiind pentru aa.</w:t>
            </w:r>
            <w:r w:rsidR="006E1DF2">
              <w:rPr>
                <w:rFonts w:ascii="Times New Roman" w:hAnsi="Times New Roman" w:cs="Times New Roman"/>
                <w:sz w:val="20"/>
                <w:szCs w:val="20"/>
                <w:lang w:val="ro-MD"/>
              </w:rPr>
              <w:t xml:space="preserve"> </w:t>
            </w:r>
            <w:r w:rsidRPr="00483DC7">
              <w:rPr>
                <w:rFonts w:ascii="Times New Roman" w:hAnsi="Times New Roman" w:cs="Times New Roman"/>
                <w:sz w:val="20"/>
                <w:szCs w:val="20"/>
                <w:lang w:val="ro-MD"/>
              </w:rPr>
              <w:t xml:space="preserve">2024-2026, în cadrul grantului Fondului Global (MDA-C-PCIMU nr. 3623).  </w:t>
            </w:r>
          </w:p>
          <w:p w14:paraId="057474C4" w14:textId="26F91EB8" w:rsidR="00FD2D5B" w:rsidRPr="00483DC7" w:rsidRDefault="00FD2D5B" w:rsidP="00FD2D5B">
            <w:pPr>
              <w:spacing w:after="0"/>
              <w:ind w:firstLine="709"/>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În perioada vizată a auditului (anii 2022-2023), în cadrul perioadei de implementare a grantului MDA-C-PCIMU nr. 1923, aa. 2021-2023, Programul a urmărit 8 obiective cheie și a fost structurat pe 13 module separate (inclusiv modulul COVID-19). Performanța programatică a fost măsurată în baza </w:t>
            </w:r>
            <w:r w:rsidRPr="00483DC7">
              <w:rPr>
                <w:rFonts w:ascii="Times New Roman" w:hAnsi="Times New Roman" w:cs="Times New Roman"/>
                <w:b/>
                <w:bCs/>
                <w:sz w:val="20"/>
                <w:szCs w:val="20"/>
                <w:lang w:val="ro-MD"/>
              </w:rPr>
              <w:t>indicatorilor de performanță</w:t>
            </w:r>
            <w:r w:rsidRPr="00483DC7">
              <w:rPr>
                <w:rFonts w:ascii="Times New Roman" w:hAnsi="Times New Roman" w:cs="Times New Roman"/>
                <w:sz w:val="20"/>
                <w:szCs w:val="20"/>
                <w:lang w:val="ro-MD"/>
              </w:rPr>
              <w:t xml:space="preserve"> programatici de impact și de rezultat (outcome) – corelați la scopul și obiectivele Programului, precum și indicatorii de acoperire/produs (coverage) – corelați la modulele/ intervențiile Programului. </w:t>
            </w:r>
          </w:p>
          <w:p w14:paraId="06A45D96" w14:textId="0325DB90" w:rsidR="00FD2D5B" w:rsidRPr="00483DC7" w:rsidRDefault="00FD2D5B" w:rsidP="000A3BF8">
            <w:pPr>
              <w:spacing w:after="0"/>
              <w:ind w:firstLine="709"/>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 xml:space="preserve">Astfel, </w:t>
            </w:r>
            <w:r w:rsidRPr="00483DC7">
              <w:rPr>
                <w:rFonts w:ascii="Times New Roman" w:hAnsi="Times New Roman" w:cs="Times New Roman"/>
                <w:sz w:val="20"/>
                <w:szCs w:val="20"/>
                <w:u w:val="single"/>
                <w:lang w:val="ro-MD"/>
              </w:rPr>
              <w:t>la data de 31 decembrie 2023</w:t>
            </w:r>
            <w:r w:rsidRPr="00483DC7">
              <w:rPr>
                <w:rFonts w:ascii="Times New Roman" w:hAnsi="Times New Roman" w:cs="Times New Roman"/>
                <w:sz w:val="20"/>
                <w:szCs w:val="20"/>
                <w:lang w:val="ro-MD"/>
              </w:rPr>
              <w:t xml:space="preserve">, în baza raportului de verificare anuală a progresului (PU/DR) de către Donator (Fondul Global), performanța medie a tuturor indicatorilor, pe </w:t>
            </w:r>
            <w:r w:rsidRPr="00483DC7">
              <w:rPr>
                <w:rFonts w:ascii="Times New Roman" w:hAnsi="Times New Roman" w:cs="Times New Roman"/>
                <w:b/>
                <w:bCs/>
                <w:sz w:val="20"/>
                <w:szCs w:val="20"/>
                <w:lang w:val="ro-MD"/>
              </w:rPr>
              <w:t>componenta TB</w:t>
            </w:r>
            <w:r w:rsidRPr="00483DC7">
              <w:rPr>
                <w:rFonts w:ascii="Times New Roman" w:hAnsi="Times New Roman" w:cs="Times New Roman"/>
                <w:sz w:val="20"/>
                <w:szCs w:val="20"/>
                <w:lang w:val="ro-MD"/>
              </w:rPr>
              <w:t>, a fost de ​​</w:t>
            </w:r>
            <w:r w:rsidRPr="00483DC7">
              <w:rPr>
                <w:rFonts w:ascii="Times New Roman" w:hAnsi="Times New Roman" w:cs="Times New Roman"/>
                <w:b/>
                <w:bCs/>
                <w:sz w:val="20"/>
                <w:szCs w:val="20"/>
                <w:lang w:val="ro-MD"/>
              </w:rPr>
              <w:t>80,4%</w:t>
            </w:r>
            <w:r w:rsidRPr="00483DC7">
              <w:rPr>
                <w:rFonts w:ascii="Times New Roman" w:hAnsi="Times New Roman" w:cs="Times New Roman"/>
                <w:sz w:val="20"/>
                <w:szCs w:val="20"/>
                <w:lang w:val="ro-MD"/>
              </w:rPr>
              <w:t xml:space="preserve">. Astfel, din cei </w:t>
            </w:r>
            <w:r w:rsidRPr="00483DC7">
              <w:rPr>
                <w:rFonts w:ascii="Times New Roman" w:hAnsi="Times New Roman" w:cs="Times New Roman"/>
                <w:sz w:val="20"/>
                <w:szCs w:val="20"/>
                <w:u w:val="single"/>
                <w:lang w:val="ro-MD"/>
              </w:rPr>
              <w:t>7 indicatori raportați, pe componenta TB</w:t>
            </w:r>
            <w:r w:rsidRPr="00483DC7">
              <w:rPr>
                <w:rFonts w:ascii="Times New Roman" w:hAnsi="Times New Roman" w:cs="Times New Roman"/>
                <w:sz w:val="20"/>
                <w:szCs w:val="20"/>
                <w:lang w:val="ro-MD"/>
              </w:rPr>
              <w:t xml:space="preserve">, țintele au fost atinse pentru 3 indicatori, parțial atinse - pentru alți 3 indicatori și neadecvat atinse - pentru 1 indicator. În același timp, performanța medie a tuturor indicatorilor, pe </w:t>
            </w:r>
            <w:r w:rsidRPr="00483DC7">
              <w:rPr>
                <w:rFonts w:ascii="Times New Roman" w:hAnsi="Times New Roman" w:cs="Times New Roman"/>
                <w:b/>
                <w:bCs/>
                <w:sz w:val="20"/>
                <w:szCs w:val="20"/>
                <w:lang w:val="ro-MD"/>
              </w:rPr>
              <w:t>componenta HIV/SIDA</w:t>
            </w:r>
            <w:r w:rsidRPr="00483DC7">
              <w:rPr>
                <w:rFonts w:ascii="Times New Roman" w:hAnsi="Times New Roman" w:cs="Times New Roman"/>
                <w:sz w:val="20"/>
                <w:szCs w:val="20"/>
                <w:lang w:val="ro-MD"/>
              </w:rPr>
              <w:t xml:space="preserve">, a fost de </w:t>
            </w:r>
            <w:r w:rsidRPr="00483DC7">
              <w:rPr>
                <w:rFonts w:ascii="Times New Roman" w:hAnsi="Times New Roman" w:cs="Times New Roman"/>
                <w:b/>
                <w:bCs/>
                <w:sz w:val="20"/>
                <w:szCs w:val="20"/>
                <w:lang w:val="ro-MD"/>
              </w:rPr>
              <w:t>77.7%</w:t>
            </w:r>
            <w:r w:rsidRPr="00483DC7">
              <w:rPr>
                <w:rFonts w:ascii="Times New Roman" w:hAnsi="Times New Roman" w:cs="Times New Roman"/>
                <w:sz w:val="20"/>
                <w:szCs w:val="20"/>
                <w:lang w:val="ro-MD"/>
              </w:rPr>
              <w:t xml:space="preserve">. Astfel, din cei </w:t>
            </w:r>
            <w:r w:rsidRPr="00483DC7">
              <w:rPr>
                <w:rFonts w:ascii="Times New Roman" w:hAnsi="Times New Roman" w:cs="Times New Roman"/>
                <w:sz w:val="20"/>
                <w:szCs w:val="20"/>
                <w:u w:val="single"/>
                <w:lang w:val="ro-MD"/>
              </w:rPr>
              <w:t>12 indicatori raportați, pe componenta HIV/SIDA</w:t>
            </w:r>
            <w:r w:rsidRPr="00483DC7">
              <w:rPr>
                <w:rFonts w:ascii="Times New Roman" w:hAnsi="Times New Roman" w:cs="Times New Roman"/>
                <w:sz w:val="20"/>
                <w:szCs w:val="20"/>
                <w:lang w:val="ro-MD"/>
              </w:rPr>
              <w:t xml:space="preserve">, țintele au fost supra-atinse pentru 2 indicatori, parțial atinse - pentru 8 indicatori și neadecvat atinse - pentru 2 indicatori. </w:t>
            </w:r>
          </w:p>
          <w:p w14:paraId="1FF91550" w14:textId="0CA12238" w:rsidR="00FD2D5B" w:rsidRPr="00483DC7" w:rsidRDefault="00FD2D5B" w:rsidP="000A3BF8">
            <w:pPr>
              <w:spacing w:after="0"/>
              <w:ind w:firstLine="446"/>
              <w:jc w:val="both"/>
              <w:rPr>
                <w:rFonts w:ascii="Times New Roman" w:hAnsi="Times New Roman" w:cs="Times New Roman"/>
                <w:sz w:val="20"/>
                <w:szCs w:val="20"/>
                <w:lang w:val="ro-MD"/>
              </w:rPr>
            </w:pPr>
            <w:r w:rsidRPr="00483DC7">
              <w:rPr>
                <w:rFonts w:ascii="Times New Roman" w:hAnsi="Times New Roman" w:cs="Times New Roman"/>
                <w:sz w:val="20"/>
                <w:szCs w:val="20"/>
                <w:lang w:val="ro-MD"/>
              </w:rPr>
              <w:t>În conformitate cu prevederile acordului de grant aferent, Pro</w:t>
            </w:r>
            <w:r w:rsidR="00483DC7" w:rsidRPr="00483DC7">
              <w:rPr>
                <w:rFonts w:ascii="Times New Roman" w:hAnsi="Times New Roman" w:cs="Times New Roman"/>
                <w:sz w:val="20"/>
                <w:szCs w:val="20"/>
                <w:lang w:val="ro-MD"/>
              </w:rPr>
              <w:t>gramul a prevăzut co</w:t>
            </w:r>
            <w:r w:rsidRPr="00483DC7">
              <w:rPr>
                <w:rFonts w:ascii="Times New Roman" w:hAnsi="Times New Roman" w:cs="Times New Roman"/>
                <w:sz w:val="20"/>
                <w:szCs w:val="20"/>
                <w:lang w:val="ro-MD"/>
              </w:rPr>
              <w:t>finanțarea unor activități din cadrul Programelor Naționale de Prevenire și Control al HIV/SIDA/ITS și de Răspuns la Tuberculoză. Respectiv, descrierea activităților desfășurate, în perioada aa. 2022-2023, în conformitate cu modulele Programului.</w:t>
            </w:r>
          </w:p>
          <w:p w14:paraId="5751F861" w14:textId="31B372E2" w:rsidR="00E653AF" w:rsidRPr="00483DC7" w:rsidRDefault="00FD2D5B" w:rsidP="00FD2D5B">
            <w:pPr>
              <w:spacing w:after="0" w:line="240" w:lineRule="auto"/>
              <w:ind w:firstLine="446"/>
              <w:jc w:val="both"/>
              <w:rPr>
                <w:rFonts w:ascii="Times New Roman" w:eastAsia="Times New Roman" w:hAnsi="Times New Roman" w:cs="Times New Roman"/>
                <w:color w:val="000000"/>
                <w:sz w:val="20"/>
                <w:szCs w:val="20"/>
                <w:lang w:val="ro-MD"/>
              </w:rPr>
            </w:pPr>
            <w:r w:rsidRPr="00483DC7">
              <w:rPr>
                <w:rFonts w:ascii="Times New Roman" w:hAnsi="Times New Roman" w:cs="Times New Roman"/>
                <w:sz w:val="20"/>
                <w:szCs w:val="20"/>
                <w:lang w:val="ro-MD"/>
              </w:rPr>
              <w:t>De menționat că, activitățile de profilaxie sunt în desfășurare continuă, impactul cărora poate fi măsurat prin intermediul studiilor bio-comportamentale în rândul grupurilor cu risc sporit de infectare. Ulterior, în baza rezultatelor obținute, se implementează ajustările și modificările necesare în intervențiile și activitățile implementate. La fel, indicatorii de produs înregistrează variații de la indicatorii țintă scontați, însă în baza doar a acestora nu poate fi evaluat nivelul de impact general al Programului.</w:t>
            </w:r>
          </w:p>
        </w:tc>
      </w:tr>
      <w:tr w:rsidR="00E653AF" w:rsidRPr="00483DC7" w14:paraId="4C8FA483" w14:textId="77777777" w:rsidTr="003B63AA">
        <w:trPr>
          <w:trHeight w:val="80"/>
        </w:trPr>
        <w:tc>
          <w:tcPr>
            <w:tcW w:w="1294" w:type="dxa"/>
            <w:shd w:val="clear" w:color="000000" w:fill="C6E0B4"/>
            <w:noWrap/>
            <w:vAlign w:val="bottom"/>
            <w:hideMark/>
          </w:tcPr>
          <w:p w14:paraId="21423344" w14:textId="77777777" w:rsidR="00E653AF" w:rsidRPr="00483DC7" w:rsidRDefault="00E653AF" w:rsidP="00E653AF">
            <w:pPr>
              <w:spacing w:after="0" w:line="240" w:lineRule="auto"/>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Total</w:t>
            </w:r>
          </w:p>
        </w:tc>
        <w:tc>
          <w:tcPr>
            <w:tcW w:w="1383" w:type="dxa"/>
            <w:shd w:val="clear" w:color="000000" w:fill="C6E0B4"/>
            <w:vAlign w:val="center"/>
            <w:hideMark/>
          </w:tcPr>
          <w:p w14:paraId="03B57CDE" w14:textId="77777777" w:rsidR="00E653AF" w:rsidRPr="00483DC7" w:rsidRDefault="00E653AF" w:rsidP="00E653AF">
            <w:pPr>
              <w:spacing w:after="0" w:line="240" w:lineRule="auto"/>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w:t>
            </w:r>
          </w:p>
        </w:tc>
        <w:tc>
          <w:tcPr>
            <w:tcW w:w="1936" w:type="dxa"/>
            <w:shd w:val="clear" w:color="000000" w:fill="C6E0B4"/>
            <w:vAlign w:val="center"/>
            <w:hideMark/>
          </w:tcPr>
          <w:p w14:paraId="6483F6DC" w14:textId="77777777" w:rsidR="00E653AF" w:rsidRPr="00483DC7" w:rsidRDefault="00E653AF" w:rsidP="00E653AF">
            <w:pPr>
              <w:spacing w:after="0" w:line="240" w:lineRule="auto"/>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w:t>
            </w:r>
          </w:p>
        </w:tc>
        <w:tc>
          <w:tcPr>
            <w:tcW w:w="1476" w:type="dxa"/>
            <w:shd w:val="clear" w:color="000000" w:fill="C6E0B4"/>
            <w:noWrap/>
            <w:vAlign w:val="bottom"/>
            <w:hideMark/>
          </w:tcPr>
          <w:p w14:paraId="35A24830" w14:textId="098FA6DD" w:rsidR="00E653AF" w:rsidRPr="00483DC7" w:rsidRDefault="00E653AF" w:rsidP="00CB1EF8">
            <w:pPr>
              <w:spacing w:after="0" w:line="240" w:lineRule="auto"/>
              <w:jc w:val="right"/>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4.</w:t>
            </w:r>
            <w:r w:rsidR="00CB1EF8">
              <w:rPr>
                <w:rFonts w:ascii="Times New Roman" w:eastAsia="Times New Roman" w:hAnsi="Times New Roman" w:cs="Times New Roman"/>
                <w:b/>
                <w:bCs/>
                <w:color w:val="000000"/>
                <w:sz w:val="20"/>
                <w:szCs w:val="20"/>
                <w:lang w:val="ro-MD"/>
              </w:rPr>
              <w:t>338.639,33</w:t>
            </w:r>
          </w:p>
        </w:tc>
        <w:tc>
          <w:tcPr>
            <w:tcW w:w="1703" w:type="dxa"/>
            <w:shd w:val="clear" w:color="000000" w:fill="C6E0B4"/>
            <w:noWrap/>
            <w:vAlign w:val="bottom"/>
            <w:hideMark/>
          </w:tcPr>
          <w:p w14:paraId="2DB8335A" w14:textId="26C87034" w:rsidR="00E653AF" w:rsidRPr="00483DC7" w:rsidRDefault="00CB1EF8" w:rsidP="00E653AF">
            <w:pPr>
              <w:spacing w:after="0" w:line="240" w:lineRule="auto"/>
              <w:jc w:val="right"/>
              <w:rPr>
                <w:rFonts w:ascii="Times New Roman" w:eastAsia="Times New Roman" w:hAnsi="Times New Roman" w:cs="Times New Roman"/>
                <w:b/>
                <w:bCs/>
                <w:color w:val="000000"/>
                <w:sz w:val="20"/>
                <w:szCs w:val="20"/>
                <w:lang w:val="ro-MD"/>
              </w:rPr>
            </w:pPr>
            <w:r>
              <w:rPr>
                <w:rFonts w:ascii="Times New Roman" w:eastAsia="Times New Roman" w:hAnsi="Times New Roman" w:cs="Times New Roman"/>
                <w:b/>
                <w:bCs/>
                <w:color w:val="000000"/>
                <w:sz w:val="20"/>
                <w:szCs w:val="20"/>
                <w:lang w:val="ro-MD"/>
              </w:rPr>
              <w:t>7.301.246,87</w:t>
            </w:r>
          </w:p>
        </w:tc>
        <w:tc>
          <w:tcPr>
            <w:tcW w:w="6525" w:type="dxa"/>
            <w:shd w:val="clear" w:color="000000" w:fill="C6E0B4"/>
            <w:noWrap/>
            <w:vAlign w:val="bottom"/>
            <w:hideMark/>
          </w:tcPr>
          <w:p w14:paraId="0E96DC57" w14:textId="77777777" w:rsidR="00E653AF" w:rsidRPr="00483DC7" w:rsidRDefault="00E653AF" w:rsidP="00E653AF">
            <w:pPr>
              <w:spacing w:after="0" w:line="240" w:lineRule="auto"/>
              <w:jc w:val="both"/>
              <w:rPr>
                <w:rFonts w:ascii="Times New Roman" w:eastAsia="Times New Roman" w:hAnsi="Times New Roman" w:cs="Times New Roman"/>
                <w:b/>
                <w:bCs/>
                <w:color w:val="000000"/>
                <w:sz w:val="20"/>
                <w:szCs w:val="20"/>
                <w:lang w:val="ro-MD"/>
              </w:rPr>
            </w:pPr>
            <w:r w:rsidRPr="00483DC7">
              <w:rPr>
                <w:rFonts w:ascii="Times New Roman" w:eastAsia="Times New Roman" w:hAnsi="Times New Roman" w:cs="Times New Roman"/>
                <w:b/>
                <w:bCs/>
                <w:color w:val="000000"/>
                <w:sz w:val="20"/>
                <w:szCs w:val="20"/>
                <w:lang w:val="ro-MD"/>
              </w:rPr>
              <w:t> </w:t>
            </w:r>
          </w:p>
        </w:tc>
      </w:tr>
    </w:tbl>
    <w:p w14:paraId="454559FE" w14:textId="77777777" w:rsidR="00E653AF" w:rsidRPr="00483DC7" w:rsidRDefault="00E653AF" w:rsidP="00E653AF">
      <w:pPr>
        <w:rPr>
          <w:lang w:val="ro-MD"/>
        </w:rPr>
      </w:pPr>
    </w:p>
    <w:sectPr w:rsidR="00E653AF" w:rsidRPr="00483DC7" w:rsidSect="00533781">
      <w:pgSz w:w="15840" w:h="12240" w:orient="landscape"/>
      <w:pgMar w:top="1701" w:right="851" w:bottom="851" w:left="851"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0519" w14:textId="77777777" w:rsidR="00A148BF" w:rsidRDefault="00A148BF" w:rsidP="00FA386E">
      <w:pPr>
        <w:spacing w:after="0" w:line="240" w:lineRule="auto"/>
      </w:pPr>
      <w:r>
        <w:separator/>
      </w:r>
    </w:p>
  </w:endnote>
  <w:endnote w:type="continuationSeparator" w:id="0">
    <w:p w14:paraId="5F1CC9BB" w14:textId="77777777" w:rsidR="00A148BF" w:rsidRDefault="00A148BF" w:rsidP="00FA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76917"/>
      <w:docPartObj>
        <w:docPartGallery w:val="Page Numbers (Bottom of Page)"/>
        <w:docPartUnique/>
      </w:docPartObj>
    </w:sdtPr>
    <w:sdtEndPr>
      <w:rPr>
        <w:rFonts w:ascii="Times New Roman" w:hAnsi="Times New Roman" w:cs="Times New Roman"/>
        <w:noProof/>
        <w:sz w:val="24"/>
        <w:szCs w:val="24"/>
      </w:rPr>
    </w:sdtEndPr>
    <w:sdtContent>
      <w:p w14:paraId="3008D8D6" w14:textId="563CFAD3" w:rsidR="00CB1EF8" w:rsidRPr="00183A05" w:rsidRDefault="00CB1EF8" w:rsidP="00705001">
        <w:pPr>
          <w:pStyle w:val="Footer"/>
          <w:tabs>
            <w:tab w:val="clear" w:pos="4844"/>
            <w:tab w:val="clear" w:pos="9689"/>
          </w:tabs>
          <w:jc w:val="right"/>
          <w:rPr>
            <w:rFonts w:ascii="Times New Roman" w:hAnsi="Times New Roman" w:cs="Times New Roman"/>
            <w:sz w:val="24"/>
            <w:szCs w:val="24"/>
          </w:rPr>
        </w:pPr>
        <w:r w:rsidRPr="00183A05">
          <w:rPr>
            <w:rFonts w:ascii="Times New Roman" w:hAnsi="Times New Roman" w:cs="Times New Roman"/>
            <w:sz w:val="24"/>
            <w:szCs w:val="24"/>
          </w:rPr>
          <w:fldChar w:fldCharType="begin"/>
        </w:r>
        <w:r w:rsidRPr="00183A05">
          <w:rPr>
            <w:rFonts w:ascii="Times New Roman" w:hAnsi="Times New Roman" w:cs="Times New Roman"/>
            <w:sz w:val="24"/>
            <w:szCs w:val="24"/>
          </w:rPr>
          <w:instrText xml:space="preserve"> PAGE   \* MERGEFORMAT </w:instrText>
        </w:r>
        <w:r w:rsidRPr="00183A05">
          <w:rPr>
            <w:rFonts w:ascii="Times New Roman" w:hAnsi="Times New Roman" w:cs="Times New Roman"/>
            <w:sz w:val="24"/>
            <w:szCs w:val="24"/>
          </w:rPr>
          <w:fldChar w:fldCharType="separate"/>
        </w:r>
        <w:r w:rsidR="00894750">
          <w:rPr>
            <w:rFonts w:ascii="Times New Roman" w:hAnsi="Times New Roman" w:cs="Times New Roman"/>
            <w:noProof/>
            <w:sz w:val="24"/>
            <w:szCs w:val="24"/>
          </w:rPr>
          <w:t>2</w:t>
        </w:r>
        <w:r w:rsidRPr="00183A05">
          <w:rPr>
            <w:rFonts w:ascii="Times New Roman" w:hAnsi="Times New Roman" w:cs="Times New Roman"/>
            <w:noProof/>
            <w:sz w:val="24"/>
            <w:szCs w:val="24"/>
          </w:rPr>
          <w:fldChar w:fldCharType="end"/>
        </w:r>
      </w:p>
    </w:sdtContent>
  </w:sdt>
  <w:p w14:paraId="5E73453C" w14:textId="77777777" w:rsidR="00CB1EF8" w:rsidRDefault="00CB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16592"/>
      <w:docPartObj>
        <w:docPartGallery w:val="Page Numbers (Bottom of Page)"/>
        <w:docPartUnique/>
      </w:docPartObj>
    </w:sdtPr>
    <w:sdtEndPr>
      <w:rPr>
        <w:noProof/>
      </w:rPr>
    </w:sdtEndPr>
    <w:sdtContent>
      <w:p w14:paraId="6EB83824" w14:textId="47AECA3B" w:rsidR="00CB1EF8" w:rsidRDefault="00CB1EF8">
        <w:pPr>
          <w:pStyle w:val="Footer"/>
          <w:jc w:val="right"/>
        </w:pPr>
        <w:r>
          <w:fldChar w:fldCharType="begin"/>
        </w:r>
        <w:r>
          <w:instrText xml:space="preserve"> PAGE   \* MERGEFORMAT </w:instrText>
        </w:r>
        <w:r>
          <w:fldChar w:fldCharType="separate"/>
        </w:r>
        <w:r w:rsidR="00894750">
          <w:rPr>
            <w:noProof/>
          </w:rPr>
          <w:t>51</w:t>
        </w:r>
        <w:r>
          <w:rPr>
            <w:noProof/>
          </w:rPr>
          <w:fldChar w:fldCharType="end"/>
        </w:r>
      </w:p>
    </w:sdtContent>
  </w:sdt>
  <w:p w14:paraId="2C4EB364" w14:textId="77777777" w:rsidR="00CB1EF8" w:rsidRDefault="00CB1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1F5B" w14:textId="77777777" w:rsidR="00A148BF" w:rsidRDefault="00A148BF" w:rsidP="00FA386E">
      <w:pPr>
        <w:spacing w:after="0" w:line="240" w:lineRule="auto"/>
      </w:pPr>
      <w:r>
        <w:separator/>
      </w:r>
    </w:p>
  </w:footnote>
  <w:footnote w:type="continuationSeparator" w:id="0">
    <w:p w14:paraId="1F85DD06" w14:textId="77777777" w:rsidR="00A148BF" w:rsidRDefault="00A148BF" w:rsidP="00FA386E">
      <w:pPr>
        <w:spacing w:after="0" w:line="240" w:lineRule="auto"/>
      </w:pPr>
      <w:r>
        <w:continuationSeparator/>
      </w:r>
    </w:p>
  </w:footnote>
  <w:footnote w:id="1">
    <w:p w14:paraId="54DC3D22" w14:textId="77777777" w:rsidR="00CB1EF8" w:rsidRPr="00FE1E19" w:rsidRDefault="00CB1EF8" w:rsidP="000169EF">
      <w:pPr>
        <w:pStyle w:val="FootnoteText"/>
        <w:jc w:val="both"/>
        <w:rPr>
          <w:rFonts w:ascii="Times New Roman" w:hAnsi="Times New Roman" w:cs="Times New Roman"/>
          <w:sz w:val="16"/>
          <w:szCs w:val="16"/>
          <w:lang w:val="ro-MD"/>
        </w:rPr>
      </w:pPr>
      <w:r w:rsidRPr="00FE1E19">
        <w:rPr>
          <w:rStyle w:val="FootnoteReference"/>
          <w:rFonts w:ascii="Times New Roman" w:hAnsi="Times New Roman" w:cs="Times New Roman"/>
          <w:sz w:val="16"/>
          <w:szCs w:val="16"/>
          <w:lang w:val="ro-MD"/>
        </w:rPr>
        <w:footnoteRef/>
      </w:r>
      <w:r w:rsidRPr="00FE1E19">
        <w:rPr>
          <w:rFonts w:ascii="Times New Roman" w:hAnsi="Times New Roman" w:cs="Times New Roman"/>
          <w:sz w:val="16"/>
          <w:szCs w:val="16"/>
          <w:lang w:val="ro-MD"/>
        </w:rPr>
        <w:t xml:space="preserve"> HG nr.377 din 25.04.2018 cu privire la reglementarea cadrului instituțional și mecanismului de coordonare și management al asistenței externe.</w:t>
      </w:r>
    </w:p>
  </w:footnote>
  <w:footnote w:id="2">
    <w:p w14:paraId="202211FA" w14:textId="14395CBA" w:rsidR="00CB1EF8" w:rsidRPr="00B1583B" w:rsidRDefault="00CB1EF8" w:rsidP="000169EF">
      <w:pPr>
        <w:pStyle w:val="FootnoteText"/>
        <w:jc w:val="both"/>
        <w:rPr>
          <w:rFonts w:ascii="Times New Roman" w:hAnsi="Times New Roman" w:cs="Times New Roman"/>
          <w:sz w:val="16"/>
          <w:szCs w:val="16"/>
          <w:lang w:val="ro-RO"/>
        </w:rPr>
      </w:pPr>
      <w:r w:rsidRPr="00FE1E19">
        <w:rPr>
          <w:rStyle w:val="FootnoteReference"/>
          <w:rFonts w:ascii="Times New Roman" w:hAnsi="Times New Roman" w:cs="Times New Roman"/>
          <w:sz w:val="16"/>
          <w:szCs w:val="16"/>
          <w:lang w:val="ro-MD"/>
        </w:rPr>
        <w:footnoteRef/>
      </w:r>
      <w:r w:rsidRPr="00FE1E19">
        <w:rPr>
          <w:rFonts w:ascii="Times New Roman" w:hAnsi="Times New Roman" w:cs="Times New Roman"/>
          <w:sz w:val="16"/>
          <w:szCs w:val="16"/>
          <w:lang w:val="ro-MD"/>
        </w:rPr>
        <w:t xml:space="preserve"> Etapele sistemului de management al asistenței externe: (1) programarea asistenței externe; (2) implementarea proiectelor/programelor de asistență externă; (3) monitorizarea implementării proiectelor/programelor; (4) raportarea progresului în implementarea proiectelor/programelor și</w:t>
      </w:r>
      <w:r>
        <w:rPr>
          <w:rFonts w:ascii="Times New Roman" w:hAnsi="Times New Roman" w:cs="Times New Roman"/>
          <w:sz w:val="16"/>
          <w:szCs w:val="16"/>
          <w:lang w:val="ro-MD"/>
        </w:rPr>
        <w:t>,</w:t>
      </w:r>
      <w:r w:rsidRPr="00FE1E19">
        <w:rPr>
          <w:rFonts w:ascii="Times New Roman" w:hAnsi="Times New Roman" w:cs="Times New Roman"/>
          <w:sz w:val="16"/>
          <w:szCs w:val="16"/>
          <w:lang w:val="ro-MD"/>
        </w:rPr>
        <w:t xml:space="preserve"> respectiv</w:t>
      </w:r>
      <w:r>
        <w:rPr>
          <w:rFonts w:ascii="Times New Roman" w:hAnsi="Times New Roman" w:cs="Times New Roman"/>
          <w:sz w:val="16"/>
          <w:szCs w:val="16"/>
          <w:lang w:val="ro-MD"/>
        </w:rPr>
        <w:t>,</w:t>
      </w:r>
      <w:r w:rsidRPr="00FE1E19">
        <w:rPr>
          <w:rFonts w:ascii="Times New Roman" w:hAnsi="Times New Roman" w:cs="Times New Roman"/>
          <w:sz w:val="16"/>
          <w:szCs w:val="16"/>
          <w:lang w:val="ro-MD"/>
        </w:rPr>
        <w:t xml:space="preserve"> (5) evaluarea rezultatelor.</w:t>
      </w:r>
    </w:p>
  </w:footnote>
  <w:footnote w:id="3">
    <w:p w14:paraId="56186861" w14:textId="77777777" w:rsidR="00CB1EF8" w:rsidRPr="00FD7C7A" w:rsidRDefault="00CB1EF8" w:rsidP="00785A72">
      <w:pPr>
        <w:pStyle w:val="FootnoteText"/>
        <w:jc w:val="both"/>
        <w:rPr>
          <w:rFonts w:ascii="Times New Roman" w:hAnsi="Times New Roman" w:cs="Times New Roman"/>
          <w:sz w:val="16"/>
          <w:szCs w:val="16"/>
          <w:lang w:val="ro-MD"/>
        </w:rPr>
      </w:pPr>
      <w:r w:rsidRPr="007027E2">
        <w:rPr>
          <w:rStyle w:val="FootnoteReference"/>
          <w:rFonts w:ascii="Times New Roman" w:hAnsi="Times New Roman" w:cs="Times New Roman"/>
          <w:sz w:val="16"/>
          <w:szCs w:val="16"/>
          <w:lang w:val="ro-MD"/>
        </w:rPr>
        <w:footnoteRef/>
      </w:r>
      <w:r w:rsidRPr="007027E2">
        <w:rPr>
          <w:rFonts w:ascii="Times New Roman" w:hAnsi="Times New Roman" w:cs="Times New Roman"/>
          <w:sz w:val="16"/>
          <w:szCs w:val="16"/>
          <w:lang w:val="ro-MD"/>
        </w:rPr>
        <w:t xml:space="preserve"> </w:t>
      </w:r>
      <w:hyperlink r:id="rId1" w:history="1">
        <w:r w:rsidRPr="00FD7C7A">
          <w:rPr>
            <w:rStyle w:val="Hyperlink"/>
            <w:rFonts w:ascii="Times New Roman" w:hAnsi="Times New Roman" w:cs="Times New Roman"/>
            <w:sz w:val="16"/>
            <w:szCs w:val="16"/>
            <w:u w:val="none"/>
            <w:lang w:val="ro-MD"/>
          </w:rPr>
          <w:t>https://cancelaria.gov.md/sites/default/files/raport.pdf</w:t>
        </w:r>
      </w:hyperlink>
      <w:r w:rsidRPr="00FD7C7A">
        <w:rPr>
          <w:rFonts w:ascii="Times New Roman" w:hAnsi="Times New Roman" w:cs="Times New Roman"/>
          <w:sz w:val="16"/>
          <w:szCs w:val="16"/>
          <w:lang w:val="ro-MD"/>
        </w:rPr>
        <w:t xml:space="preserve">; </w:t>
      </w:r>
      <w:hyperlink r:id="rId2" w:history="1">
        <w:r w:rsidRPr="00FD7C7A">
          <w:rPr>
            <w:rStyle w:val="Hyperlink"/>
            <w:rFonts w:ascii="Times New Roman" w:hAnsi="Times New Roman" w:cs="Times New Roman"/>
            <w:sz w:val="16"/>
            <w:szCs w:val="16"/>
            <w:u w:val="none"/>
            <w:lang w:val="ro-MD"/>
          </w:rPr>
          <w:t>Raport privind asistenţa externă pentru Republica Moldova 2022.pdf</w:t>
        </w:r>
      </w:hyperlink>
      <w:r w:rsidRPr="00FD7C7A">
        <w:rPr>
          <w:rFonts w:ascii="Times New Roman" w:hAnsi="Times New Roman" w:cs="Times New Roman"/>
          <w:sz w:val="16"/>
          <w:szCs w:val="16"/>
          <w:lang w:val="ro-MD"/>
        </w:rPr>
        <w:t>;</w:t>
      </w:r>
    </w:p>
  </w:footnote>
  <w:footnote w:id="4">
    <w:p w14:paraId="2F250D02" w14:textId="720AB3EC" w:rsidR="00CB1EF8" w:rsidRPr="002073DF" w:rsidRDefault="00CB1EF8" w:rsidP="00785A72">
      <w:pPr>
        <w:pStyle w:val="FootnoteText"/>
        <w:rPr>
          <w:rFonts w:ascii="Times New Roman" w:hAnsi="Times New Roman" w:cs="Times New Roman"/>
          <w:sz w:val="16"/>
          <w:szCs w:val="16"/>
          <w:lang w:val="ro-RO"/>
        </w:rPr>
      </w:pPr>
      <w:r w:rsidRPr="002073DF">
        <w:rPr>
          <w:rStyle w:val="FootnoteReference"/>
          <w:rFonts w:ascii="Times New Roman" w:hAnsi="Times New Roman" w:cs="Times New Roman"/>
          <w:sz w:val="16"/>
          <w:szCs w:val="16"/>
        </w:rPr>
        <w:footnoteRef/>
      </w:r>
      <w:r w:rsidRPr="002073DF">
        <w:rPr>
          <w:rFonts w:ascii="Times New Roman" w:hAnsi="Times New Roman" w:cs="Times New Roman"/>
          <w:sz w:val="16"/>
          <w:szCs w:val="16"/>
        </w:rPr>
        <w:t xml:space="preserve"> </w:t>
      </w:r>
      <w:r w:rsidRPr="002073DF">
        <w:rPr>
          <w:rFonts w:ascii="Times New Roman" w:hAnsi="Times New Roman" w:cs="Times New Roman"/>
          <w:sz w:val="16"/>
          <w:szCs w:val="16"/>
          <w:lang w:val="ro-RO"/>
        </w:rPr>
        <w:t xml:space="preserve">Rapoartele privind executarea bugetului de stat pentru anii 2022-2023 (Forma F-010). </w:t>
      </w:r>
    </w:p>
  </w:footnote>
  <w:footnote w:id="5">
    <w:p w14:paraId="6E2A9979" w14:textId="77777777" w:rsidR="00CB1EF8" w:rsidRPr="002073DF" w:rsidRDefault="00CB1EF8" w:rsidP="00785A72">
      <w:pPr>
        <w:pStyle w:val="FootnoteText"/>
        <w:rPr>
          <w:rFonts w:ascii="Times New Roman" w:hAnsi="Times New Roman" w:cs="Times New Roman"/>
          <w:sz w:val="16"/>
          <w:szCs w:val="16"/>
          <w:lang w:val="ro-MD"/>
        </w:rPr>
      </w:pPr>
      <w:r w:rsidRPr="002073DF">
        <w:rPr>
          <w:rStyle w:val="FootnoteReference"/>
          <w:rFonts w:ascii="Times New Roman" w:hAnsi="Times New Roman" w:cs="Times New Roman"/>
          <w:sz w:val="16"/>
          <w:szCs w:val="16"/>
          <w:lang w:val="ro-MD"/>
        </w:rPr>
        <w:footnoteRef/>
      </w:r>
      <w:r w:rsidRPr="002073DF">
        <w:rPr>
          <w:rFonts w:ascii="Times New Roman" w:hAnsi="Times New Roman" w:cs="Times New Roman"/>
          <w:sz w:val="16"/>
          <w:szCs w:val="16"/>
          <w:lang w:val="ro-MD"/>
        </w:rPr>
        <w:t xml:space="preserve"> Volumul total al asistenței externe executate a constituit: în anul 2022 – 6.613.384,18 mii lei, în anul 2023 – 7.964.015,70 mii lei. </w:t>
      </w:r>
    </w:p>
  </w:footnote>
  <w:footnote w:id="6">
    <w:p w14:paraId="734EA134" w14:textId="2E112956" w:rsidR="00CB1EF8" w:rsidRPr="002073DF" w:rsidRDefault="00CB1EF8" w:rsidP="00785A72">
      <w:pPr>
        <w:pStyle w:val="FootnoteText"/>
        <w:rPr>
          <w:rFonts w:ascii="Times New Roman" w:hAnsi="Times New Roman" w:cs="Times New Roman"/>
          <w:sz w:val="16"/>
          <w:szCs w:val="16"/>
          <w:lang w:val="ro-MD"/>
        </w:rPr>
      </w:pPr>
      <w:r w:rsidRPr="002073DF">
        <w:rPr>
          <w:rStyle w:val="FootnoteReference"/>
          <w:rFonts w:ascii="Times New Roman" w:hAnsi="Times New Roman" w:cs="Times New Roman"/>
          <w:sz w:val="16"/>
          <w:szCs w:val="16"/>
          <w:lang w:val="ro-MD"/>
        </w:rPr>
        <w:footnoteRef/>
      </w:r>
      <w:r w:rsidRPr="002073DF">
        <w:rPr>
          <w:rFonts w:ascii="Times New Roman" w:hAnsi="Times New Roman" w:cs="Times New Roman"/>
          <w:sz w:val="16"/>
          <w:szCs w:val="16"/>
          <w:lang w:val="ro-MD"/>
        </w:rPr>
        <w:t xml:space="preserve"> Valoarea împrumuturil</w:t>
      </w:r>
      <w:r>
        <w:rPr>
          <w:rFonts w:ascii="Times New Roman" w:hAnsi="Times New Roman" w:cs="Times New Roman"/>
          <w:sz w:val="16"/>
          <w:szCs w:val="16"/>
          <w:lang w:val="ro-MD"/>
        </w:rPr>
        <w:t>or externe executate a</w:t>
      </w:r>
      <w:r w:rsidRPr="002073DF">
        <w:rPr>
          <w:rFonts w:ascii="Times New Roman" w:hAnsi="Times New Roman" w:cs="Times New Roman"/>
          <w:sz w:val="16"/>
          <w:szCs w:val="16"/>
          <w:lang w:val="ro-MD"/>
        </w:rPr>
        <w:t xml:space="preserve"> constituit: în anul 2022 – 6.092.005,30 mii lei, în anul 2023 – 7.283.685,20 mii lei. </w:t>
      </w:r>
    </w:p>
  </w:footnote>
  <w:footnote w:id="7">
    <w:p w14:paraId="2A8B379C" w14:textId="38093285" w:rsidR="00CB1EF8" w:rsidRPr="00FE1E19" w:rsidRDefault="00CB1EF8" w:rsidP="00785A72">
      <w:pPr>
        <w:pStyle w:val="FootnoteText"/>
        <w:rPr>
          <w:rFonts w:ascii="Times New Roman" w:hAnsi="Times New Roman" w:cs="Times New Roman"/>
          <w:sz w:val="16"/>
          <w:szCs w:val="16"/>
          <w:lang w:val="ro-MD"/>
        </w:rPr>
      </w:pPr>
      <w:r w:rsidRPr="002073DF">
        <w:rPr>
          <w:rStyle w:val="FootnoteReference"/>
          <w:rFonts w:ascii="Times New Roman" w:hAnsi="Times New Roman" w:cs="Times New Roman"/>
          <w:sz w:val="16"/>
          <w:szCs w:val="16"/>
          <w:lang w:val="ro-MD"/>
        </w:rPr>
        <w:footnoteRef/>
      </w:r>
      <w:r w:rsidRPr="002073DF">
        <w:rPr>
          <w:rFonts w:ascii="Times New Roman" w:hAnsi="Times New Roman" w:cs="Times New Roman"/>
          <w:sz w:val="16"/>
          <w:szCs w:val="16"/>
          <w:lang w:val="ro-MD"/>
        </w:rPr>
        <w:t xml:space="preserve"> Volumul </w:t>
      </w:r>
      <w:r>
        <w:rPr>
          <w:rFonts w:ascii="Times New Roman" w:hAnsi="Times New Roman" w:cs="Times New Roman"/>
          <w:sz w:val="16"/>
          <w:szCs w:val="16"/>
          <w:lang w:val="ro-MD"/>
        </w:rPr>
        <w:t>granturilor externe executate a</w:t>
      </w:r>
      <w:r w:rsidRPr="002073DF">
        <w:rPr>
          <w:rFonts w:ascii="Times New Roman" w:hAnsi="Times New Roman" w:cs="Times New Roman"/>
          <w:sz w:val="16"/>
          <w:szCs w:val="16"/>
          <w:lang w:val="ro-MD"/>
        </w:rPr>
        <w:t xml:space="preserve"> constituit: în anul 2022 – 521.378,88 mii lei, în anul 2023 – 680.330,50 mii lei.</w:t>
      </w:r>
      <w:r w:rsidRPr="00FE1E19">
        <w:rPr>
          <w:rFonts w:ascii="Times New Roman" w:hAnsi="Times New Roman" w:cs="Times New Roman"/>
          <w:sz w:val="16"/>
          <w:szCs w:val="16"/>
          <w:lang w:val="ro-MD"/>
        </w:rPr>
        <w:t xml:space="preserve"> </w:t>
      </w:r>
    </w:p>
  </w:footnote>
  <w:footnote w:id="8">
    <w:p w14:paraId="016932CD" w14:textId="64D64121" w:rsidR="00CB1EF8" w:rsidRPr="00FC181C" w:rsidRDefault="00CB1EF8" w:rsidP="00785A72">
      <w:pPr>
        <w:pStyle w:val="FootnoteText"/>
        <w:jc w:val="both"/>
        <w:rPr>
          <w:rFonts w:ascii="Times New Roman" w:hAnsi="Times New Roman" w:cs="Times New Roman"/>
          <w:sz w:val="16"/>
          <w:szCs w:val="16"/>
          <w:lang w:val="ro-MD"/>
        </w:rPr>
      </w:pPr>
      <w:r w:rsidRPr="007027E2">
        <w:rPr>
          <w:rStyle w:val="FootnoteReference"/>
          <w:rFonts w:ascii="Times New Roman" w:hAnsi="Times New Roman" w:cs="Times New Roman"/>
          <w:sz w:val="16"/>
          <w:szCs w:val="16"/>
          <w:lang w:val="ro-MD"/>
        </w:rPr>
        <w:footnoteRef/>
      </w:r>
      <w:r w:rsidRPr="007027E2">
        <w:rPr>
          <w:rFonts w:ascii="Times New Roman" w:hAnsi="Times New Roman" w:cs="Times New Roman"/>
          <w:sz w:val="16"/>
          <w:szCs w:val="16"/>
          <w:lang w:val="ro-MD"/>
        </w:rPr>
        <w:t xml:space="preserve"> HCC nr.25 din 30.05.2022, nr. 20 din 26.05.2023 și nr.26 din 28.05.2024 cu privire la Rapoartele de audit al conformității asupra managementului datoriei de stat, garanțiilor de stat și recreditării de stat în anii 2021, 2022 și</w:t>
      </w:r>
      <w:r>
        <w:rPr>
          <w:rFonts w:ascii="Times New Roman" w:hAnsi="Times New Roman" w:cs="Times New Roman"/>
          <w:sz w:val="16"/>
          <w:szCs w:val="16"/>
          <w:lang w:val="ro-MD"/>
        </w:rPr>
        <w:t>,</w:t>
      </w:r>
      <w:r w:rsidRPr="007027E2">
        <w:rPr>
          <w:rFonts w:ascii="Times New Roman" w:hAnsi="Times New Roman" w:cs="Times New Roman"/>
          <w:sz w:val="16"/>
          <w:szCs w:val="16"/>
          <w:lang w:val="ro-MD"/>
        </w:rPr>
        <w:t xml:space="preserve"> respectiv</w:t>
      </w:r>
      <w:r>
        <w:rPr>
          <w:rFonts w:ascii="Times New Roman" w:hAnsi="Times New Roman" w:cs="Times New Roman"/>
          <w:sz w:val="16"/>
          <w:szCs w:val="16"/>
          <w:lang w:val="ro-MD"/>
        </w:rPr>
        <w:t>,</w:t>
      </w:r>
      <w:r w:rsidRPr="007027E2">
        <w:rPr>
          <w:rFonts w:ascii="Times New Roman" w:hAnsi="Times New Roman" w:cs="Times New Roman"/>
          <w:sz w:val="16"/>
          <w:szCs w:val="16"/>
          <w:lang w:val="ro-MD"/>
        </w:rPr>
        <w:t xml:space="preserve"> 2023.</w:t>
      </w:r>
      <w:r w:rsidRPr="00FC181C">
        <w:rPr>
          <w:rFonts w:ascii="Times New Roman" w:hAnsi="Times New Roman" w:cs="Times New Roman"/>
          <w:sz w:val="16"/>
          <w:szCs w:val="16"/>
          <w:lang w:val="ro-MD"/>
        </w:rPr>
        <w:t xml:space="preserve"> </w:t>
      </w:r>
    </w:p>
  </w:footnote>
  <w:footnote w:id="9">
    <w:p w14:paraId="3BCE829E" w14:textId="6174D4AD" w:rsidR="00CB1EF8" w:rsidRPr="009779C9" w:rsidRDefault="00CB1EF8" w:rsidP="009779C9">
      <w:pPr>
        <w:pStyle w:val="FootnoteText"/>
        <w:jc w:val="both"/>
        <w:rPr>
          <w:rFonts w:ascii="Times New Roman" w:hAnsi="Times New Roman" w:cs="Times New Roman"/>
          <w:sz w:val="16"/>
          <w:szCs w:val="16"/>
          <w:lang w:val="ro-MD"/>
        </w:rPr>
      </w:pPr>
      <w:r w:rsidRPr="009779C9">
        <w:rPr>
          <w:rStyle w:val="FootnoteReference"/>
          <w:rFonts w:ascii="Times New Roman" w:hAnsi="Times New Roman" w:cs="Times New Roman"/>
          <w:sz w:val="16"/>
          <w:szCs w:val="16"/>
          <w:lang w:val="ro-MD"/>
        </w:rPr>
        <w:footnoteRef/>
      </w:r>
      <w:r w:rsidRPr="009779C9">
        <w:rPr>
          <w:rFonts w:ascii="Times New Roman" w:hAnsi="Times New Roman" w:cs="Times New Roman"/>
          <w:sz w:val="16"/>
          <w:szCs w:val="16"/>
          <w:lang w:val="ro-MD"/>
        </w:rPr>
        <w:t xml:space="preserve"> HG nr.377</w:t>
      </w:r>
      <w:r>
        <w:rPr>
          <w:rFonts w:ascii="Times New Roman" w:hAnsi="Times New Roman" w:cs="Times New Roman"/>
          <w:sz w:val="16"/>
          <w:szCs w:val="16"/>
          <w:lang w:val="ro-MD"/>
        </w:rPr>
        <w:t xml:space="preserve"> din 25.04.</w:t>
      </w:r>
      <w:r w:rsidRPr="009779C9">
        <w:rPr>
          <w:rFonts w:ascii="Times New Roman" w:hAnsi="Times New Roman" w:cs="Times New Roman"/>
          <w:sz w:val="16"/>
          <w:szCs w:val="16"/>
          <w:lang w:val="ro-MD"/>
        </w:rPr>
        <w:t>2018 cu privire la reglementarea cadrului instituțional și mecanismului de coordonare și management al asistenței externe</w:t>
      </w:r>
      <w:r>
        <w:rPr>
          <w:rFonts w:ascii="Times New Roman" w:hAnsi="Times New Roman" w:cs="Times New Roman"/>
          <w:sz w:val="16"/>
          <w:szCs w:val="16"/>
          <w:lang w:val="ro-MD"/>
        </w:rPr>
        <w:t>.</w:t>
      </w:r>
    </w:p>
  </w:footnote>
  <w:footnote w:id="10">
    <w:p w14:paraId="7C75BE50" w14:textId="77777777" w:rsidR="00CB1EF8" w:rsidRPr="00991A21" w:rsidRDefault="00CB1EF8" w:rsidP="000169EF">
      <w:pPr>
        <w:pStyle w:val="FootnoteText"/>
        <w:spacing w:line="276" w:lineRule="auto"/>
        <w:jc w:val="both"/>
        <w:rPr>
          <w:rFonts w:ascii="Times New Roman" w:hAnsi="Times New Roman" w:cs="Times New Roman"/>
          <w:sz w:val="16"/>
          <w:szCs w:val="16"/>
          <w:lang w:val="ro-MD"/>
        </w:rPr>
      </w:pPr>
      <w:r w:rsidRPr="00991A21">
        <w:rPr>
          <w:rStyle w:val="FootnoteReference"/>
          <w:rFonts w:ascii="Times New Roman" w:hAnsi="Times New Roman" w:cs="Times New Roman"/>
          <w:sz w:val="16"/>
          <w:szCs w:val="16"/>
          <w:lang w:val="ro-MD"/>
        </w:rPr>
        <w:footnoteRef/>
      </w:r>
      <w:r w:rsidRPr="00991A21">
        <w:rPr>
          <w:rFonts w:ascii="Times New Roman" w:hAnsi="Times New Roman" w:cs="Times New Roman"/>
          <w:sz w:val="16"/>
          <w:szCs w:val="16"/>
          <w:lang w:val="ro-MD"/>
        </w:rPr>
        <w:t xml:space="preserve"> HG nr.838 din 09.07.2008 privind instituirea Comitetului interministerial pentru planificare strategică (abrogată prin HG nr.1070 din 27.12.2023).</w:t>
      </w:r>
    </w:p>
  </w:footnote>
  <w:footnote w:id="11">
    <w:p w14:paraId="4C130357" w14:textId="77777777" w:rsidR="00CB1EF8" w:rsidRPr="00991A21" w:rsidRDefault="00CB1EF8" w:rsidP="000169EF">
      <w:pPr>
        <w:pStyle w:val="FootnoteText"/>
        <w:spacing w:line="276" w:lineRule="auto"/>
        <w:rPr>
          <w:rFonts w:ascii="Times New Roman" w:hAnsi="Times New Roman" w:cs="Times New Roman"/>
          <w:sz w:val="16"/>
          <w:szCs w:val="16"/>
          <w:lang w:val="ro-MD"/>
        </w:rPr>
      </w:pPr>
      <w:r w:rsidRPr="00991A21">
        <w:rPr>
          <w:rStyle w:val="FootnoteReference"/>
          <w:rFonts w:ascii="Times New Roman" w:hAnsi="Times New Roman" w:cs="Times New Roman"/>
          <w:sz w:val="16"/>
          <w:szCs w:val="16"/>
          <w:lang w:val="ro-MD"/>
        </w:rPr>
        <w:footnoteRef/>
      </w:r>
      <w:r w:rsidRPr="00991A21">
        <w:rPr>
          <w:rFonts w:ascii="Times New Roman" w:hAnsi="Times New Roman" w:cs="Times New Roman"/>
          <w:sz w:val="16"/>
          <w:szCs w:val="16"/>
          <w:lang w:val="ro-MD"/>
        </w:rPr>
        <w:t xml:space="preserve"> Prin HG nr.888 din 22.11.2023, începând cu data de 24.11.2023 Cancelaria de Stat a fost desemnată drept autoritate națională de coordonare. </w:t>
      </w:r>
    </w:p>
  </w:footnote>
  <w:footnote w:id="12">
    <w:p w14:paraId="1073F940" w14:textId="77777777" w:rsidR="00CB1EF8" w:rsidRPr="00B137EE" w:rsidRDefault="00CB1EF8" w:rsidP="00B67BD7">
      <w:pPr>
        <w:pStyle w:val="FootnoteText"/>
        <w:rPr>
          <w:rFonts w:ascii="Times New Roman" w:hAnsi="Times New Roman" w:cs="Times New Roman"/>
          <w:sz w:val="16"/>
          <w:szCs w:val="16"/>
          <w:lang w:val="ro-RO"/>
        </w:rPr>
      </w:pPr>
      <w:r w:rsidRPr="00B137EE">
        <w:rPr>
          <w:rStyle w:val="FootnoteReference"/>
          <w:rFonts w:ascii="Times New Roman" w:hAnsi="Times New Roman" w:cs="Times New Roman"/>
          <w:sz w:val="16"/>
          <w:szCs w:val="16"/>
        </w:rPr>
        <w:footnoteRef/>
      </w:r>
      <w:r w:rsidRPr="00B137EE">
        <w:rPr>
          <w:rFonts w:ascii="Times New Roman" w:hAnsi="Times New Roman" w:cs="Times New Roman"/>
          <w:sz w:val="16"/>
          <w:szCs w:val="16"/>
        </w:rPr>
        <w:t xml:space="preserve"> </w:t>
      </w:r>
      <w:r w:rsidRPr="00B137EE">
        <w:rPr>
          <w:rFonts w:ascii="Times New Roman" w:hAnsi="Times New Roman" w:cs="Times New Roman"/>
          <w:sz w:val="16"/>
          <w:szCs w:val="16"/>
          <w:lang w:val="ro-RO"/>
        </w:rPr>
        <w:t>Programul activității de audit pe anul 2024, aprobat prin HCC nr.55 din 15.12.2023 (cu modificările ulterioare).</w:t>
      </w:r>
    </w:p>
  </w:footnote>
  <w:footnote w:id="13">
    <w:p w14:paraId="4C2DBB28" w14:textId="415B06F9" w:rsidR="00CB1EF8" w:rsidRPr="00DA17B5" w:rsidRDefault="00CB1EF8" w:rsidP="00980FBE">
      <w:pPr>
        <w:pStyle w:val="FootnoteText"/>
        <w:jc w:val="both"/>
        <w:rPr>
          <w:rFonts w:ascii="Times New Roman" w:hAnsi="Times New Roman" w:cs="Times New Roman"/>
          <w:sz w:val="16"/>
          <w:szCs w:val="16"/>
          <w:lang w:val="ro-MD"/>
        </w:rPr>
      </w:pPr>
      <w:r w:rsidRPr="00DA17B5">
        <w:rPr>
          <w:rStyle w:val="FootnoteReference"/>
          <w:rFonts w:ascii="Times New Roman" w:hAnsi="Times New Roman" w:cs="Times New Roman"/>
          <w:sz w:val="16"/>
          <w:szCs w:val="16"/>
          <w:lang w:val="ro-MD"/>
        </w:rPr>
        <w:footnoteRef/>
      </w:r>
      <w:r w:rsidRPr="00DA17B5">
        <w:rPr>
          <w:rFonts w:ascii="Times New Roman" w:hAnsi="Times New Roman" w:cs="Times New Roman"/>
          <w:sz w:val="16"/>
          <w:szCs w:val="16"/>
          <w:lang w:val="ro-MD"/>
        </w:rPr>
        <w:t xml:space="preserve"> Anexa nr.5 la HG nr.1136 din 18.10.2007 cu privire la unele măsuri de executare a Legii nr.419-XVI din 22.12.2006 cu privire la datoria sectorului public, garanțiile de stat și recreditarea </w:t>
      </w:r>
      <w:r>
        <w:rPr>
          <w:rFonts w:ascii="Times New Roman" w:hAnsi="Times New Roman" w:cs="Times New Roman"/>
          <w:sz w:val="16"/>
          <w:szCs w:val="16"/>
          <w:lang w:val="ro-MD"/>
        </w:rPr>
        <w:t>de stat.</w:t>
      </w:r>
    </w:p>
  </w:footnote>
  <w:footnote w:id="14">
    <w:p w14:paraId="1171BC22" w14:textId="77777777" w:rsidR="00CB1EF8" w:rsidRPr="00DA17B5" w:rsidRDefault="00CB1EF8" w:rsidP="00F35DD2">
      <w:pPr>
        <w:pStyle w:val="FootnoteText"/>
        <w:jc w:val="both"/>
        <w:rPr>
          <w:rFonts w:ascii="Times New Roman" w:hAnsi="Times New Roman" w:cs="Times New Roman"/>
          <w:sz w:val="16"/>
          <w:szCs w:val="16"/>
          <w:lang w:val="ro-MD"/>
        </w:rPr>
      </w:pPr>
      <w:r w:rsidRPr="00DA17B5">
        <w:rPr>
          <w:rStyle w:val="FootnoteReference"/>
          <w:rFonts w:ascii="Times New Roman" w:hAnsi="Times New Roman" w:cs="Times New Roman"/>
          <w:sz w:val="16"/>
          <w:szCs w:val="16"/>
          <w:lang w:val="ro-MD"/>
        </w:rPr>
        <w:footnoteRef/>
      </w:r>
      <w:r>
        <w:rPr>
          <w:rFonts w:ascii="Times New Roman" w:hAnsi="Times New Roman" w:cs="Times New Roman"/>
          <w:sz w:val="16"/>
          <w:szCs w:val="16"/>
          <w:lang w:val="ro-MD"/>
        </w:rPr>
        <w:t xml:space="preserve"> A</w:t>
      </w:r>
      <w:r w:rsidRPr="00DA17B5">
        <w:rPr>
          <w:rFonts w:ascii="Times New Roman" w:hAnsi="Times New Roman" w:cs="Times New Roman"/>
          <w:sz w:val="16"/>
          <w:szCs w:val="16"/>
          <w:lang w:val="ro-MD"/>
        </w:rPr>
        <w:t>rt.32 din Legea nr.98 din 04.05.2012 privind administrația publică centrală de specialitate, art.3 și art.62 alin.(9) din Legea finanțelor publice și responsabilității bugetar-fiscale nr.</w:t>
      </w:r>
      <w:r>
        <w:rPr>
          <w:rFonts w:ascii="Times New Roman" w:hAnsi="Times New Roman" w:cs="Times New Roman"/>
          <w:sz w:val="16"/>
          <w:szCs w:val="16"/>
          <w:lang w:val="ro-MD"/>
        </w:rPr>
        <w:t>181 din 25.07.</w:t>
      </w:r>
      <w:r w:rsidRPr="00DA17B5">
        <w:rPr>
          <w:rFonts w:ascii="Times New Roman" w:hAnsi="Times New Roman" w:cs="Times New Roman"/>
          <w:sz w:val="16"/>
          <w:szCs w:val="16"/>
          <w:lang w:val="ro-MD"/>
        </w:rPr>
        <w:t xml:space="preserve">2014. </w:t>
      </w:r>
    </w:p>
  </w:footnote>
  <w:footnote w:id="15">
    <w:p w14:paraId="534B2C95" w14:textId="639096C5" w:rsidR="00CB1EF8" w:rsidRPr="006C5D20" w:rsidRDefault="00CB1EF8" w:rsidP="005E3827">
      <w:pPr>
        <w:pStyle w:val="FootnoteText"/>
        <w:rPr>
          <w:rFonts w:ascii="Times New Roman" w:hAnsi="Times New Roman" w:cs="Times New Roman"/>
          <w:sz w:val="16"/>
          <w:szCs w:val="16"/>
          <w:lang w:val="ro-MD"/>
        </w:rPr>
      </w:pPr>
      <w:r w:rsidRPr="006C5D20">
        <w:rPr>
          <w:rStyle w:val="FootnoteReference"/>
          <w:rFonts w:ascii="Times New Roman" w:hAnsi="Times New Roman" w:cs="Times New Roman"/>
          <w:sz w:val="16"/>
          <w:szCs w:val="16"/>
          <w:lang w:val="ro-MD"/>
        </w:rPr>
        <w:footnoteRef/>
      </w:r>
      <w:r w:rsidRPr="006C5D20">
        <w:rPr>
          <w:rFonts w:ascii="Times New Roman" w:hAnsi="Times New Roman" w:cs="Times New Roman"/>
          <w:sz w:val="16"/>
          <w:szCs w:val="16"/>
          <w:lang w:val="ro-MD"/>
        </w:rPr>
        <w:t xml:space="preserve"> Art.62 alin. (9) din Legea</w:t>
      </w:r>
      <w:r>
        <w:rPr>
          <w:rFonts w:ascii="Times New Roman" w:hAnsi="Times New Roman" w:cs="Times New Roman"/>
          <w:sz w:val="16"/>
          <w:szCs w:val="16"/>
          <w:lang w:val="ro-MD"/>
        </w:rPr>
        <w:t xml:space="preserve"> finanțelor publice și responsabilității bugetar-fiscale</w:t>
      </w:r>
      <w:r w:rsidRPr="006C5D20">
        <w:rPr>
          <w:rFonts w:ascii="Times New Roman" w:hAnsi="Times New Roman" w:cs="Times New Roman"/>
          <w:sz w:val="16"/>
          <w:szCs w:val="16"/>
          <w:lang w:val="ro-MD"/>
        </w:rPr>
        <w:t xml:space="preserve"> nr.181/2014. </w:t>
      </w:r>
    </w:p>
  </w:footnote>
  <w:footnote w:id="16">
    <w:p w14:paraId="05FA2DDE" w14:textId="01C928CB" w:rsidR="00CB1EF8" w:rsidRPr="006C5D20" w:rsidRDefault="00CB1EF8" w:rsidP="005E3827">
      <w:pPr>
        <w:pStyle w:val="FootnoteText"/>
        <w:rPr>
          <w:rFonts w:ascii="Times New Roman" w:hAnsi="Times New Roman" w:cs="Times New Roman"/>
          <w:sz w:val="16"/>
          <w:szCs w:val="16"/>
          <w:lang w:val="ro-MD"/>
        </w:rPr>
      </w:pPr>
      <w:r w:rsidRPr="006C5D20">
        <w:rPr>
          <w:rStyle w:val="FootnoteReference"/>
          <w:rFonts w:ascii="Times New Roman" w:hAnsi="Times New Roman" w:cs="Times New Roman"/>
          <w:sz w:val="16"/>
          <w:szCs w:val="16"/>
          <w:lang w:val="ro-MD"/>
        </w:rPr>
        <w:footnoteRef/>
      </w:r>
      <w:r w:rsidRPr="006C5D20">
        <w:rPr>
          <w:rFonts w:ascii="Times New Roman" w:hAnsi="Times New Roman" w:cs="Times New Roman"/>
          <w:sz w:val="16"/>
          <w:szCs w:val="16"/>
          <w:lang w:val="ro-MD"/>
        </w:rPr>
        <w:t xml:space="preserve"> Legea bugetului de stat pentru </w:t>
      </w:r>
      <w:r>
        <w:rPr>
          <w:rFonts w:ascii="Times New Roman" w:hAnsi="Times New Roman" w:cs="Times New Roman"/>
          <w:sz w:val="16"/>
          <w:szCs w:val="16"/>
          <w:lang w:val="ro-MD"/>
        </w:rPr>
        <w:t>anul 2022 nr.205 din 06.12.2021.</w:t>
      </w:r>
    </w:p>
  </w:footnote>
  <w:footnote w:id="17">
    <w:p w14:paraId="69BE5A0A" w14:textId="77777777" w:rsidR="00CB1EF8" w:rsidRPr="006C5D20" w:rsidRDefault="00CB1EF8" w:rsidP="005E3827">
      <w:pPr>
        <w:pStyle w:val="FootnoteText"/>
        <w:rPr>
          <w:rFonts w:ascii="Times New Roman" w:hAnsi="Times New Roman" w:cs="Times New Roman"/>
          <w:sz w:val="16"/>
          <w:szCs w:val="16"/>
          <w:lang w:val="ro-MD"/>
        </w:rPr>
      </w:pPr>
      <w:r w:rsidRPr="006C5D20">
        <w:rPr>
          <w:rStyle w:val="FootnoteReference"/>
          <w:rFonts w:ascii="Times New Roman" w:hAnsi="Times New Roman" w:cs="Times New Roman"/>
          <w:sz w:val="16"/>
          <w:szCs w:val="16"/>
          <w:lang w:val="ro-MD"/>
        </w:rPr>
        <w:footnoteRef/>
      </w:r>
      <w:r w:rsidRPr="006C5D20">
        <w:rPr>
          <w:rFonts w:ascii="Times New Roman" w:hAnsi="Times New Roman" w:cs="Times New Roman"/>
          <w:sz w:val="16"/>
          <w:szCs w:val="16"/>
          <w:lang w:val="ro-MD"/>
        </w:rPr>
        <w:t xml:space="preserve"> Legea bugetului de stat pentru anul 2023 nr.359 din 22.12.2022.</w:t>
      </w:r>
    </w:p>
  </w:footnote>
  <w:footnote w:id="18">
    <w:p w14:paraId="46911AE8" w14:textId="77777777" w:rsidR="00CB1EF8" w:rsidRPr="00AD06BB" w:rsidRDefault="00CB1EF8" w:rsidP="00A74F60">
      <w:pPr>
        <w:pStyle w:val="FootnoteText"/>
        <w:jc w:val="both"/>
        <w:rPr>
          <w:rFonts w:ascii="Times New Roman" w:hAnsi="Times New Roman" w:cs="Times New Roman"/>
          <w:sz w:val="16"/>
          <w:szCs w:val="16"/>
          <w:lang w:val="ro-MD"/>
        </w:rPr>
      </w:pPr>
      <w:r w:rsidRPr="00AD06BB">
        <w:rPr>
          <w:rStyle w:val="FootnoteReference"/>
          <w:rFonts w:ascii="Times New Roman" w:hAnsi="Times New Roman" w:cs="Times New Roman"/>
          <w:sz w:val="16"/>
          <w:szCs w:val="16"/>
          <w:lang w:val="ro-MD"/>
        </w:rPr>
        <w:footnoteRef/>
      </w:r>
      <w:r w:rsidRPr="00AD06BB">
        <w:rPr>
          <w:rFonts w:ascii="Times New Roman" w:hAnsi="Times New Roman" w:cs="Times New Roman"/>
          <w:sz w:val="16"/>
          <w:szCs w:val="16"/>
          <w:lang w:val="ro-MD"/>
        </w:rPr>
        <w:t xml:space="preserve"> Ordinul MF nr.216 din 28.12.2015 cu privire la aprobarea Planului de conturi contabile în sistemul bugetar și a Normelor metodologice privind evidența contabilă și raportarea financiară în sistemul bugetar. </w:t>
      </w:r>
    </w:p>
  </w:footnote>
  <w:footnote w:id="19">
    <w:p w14:paraId="47C217FD" w14:textId="77777777" w:rsidR="00CB1EF8" w:rsidRPr="00AD06BB" w:rsidRDefault="00CB1EF8" w:rsidP="00A74F60">
      <w:pPr>
        <w:pStyle w:val="FootnoteText"/>
        <w:rPr>
          <w:rFonts w:ascii="Times New Roman" w:hAnsi="Times New Roman" w:cs="Times New Roman"/>
          <w:sz w:val="16"/>
          <w:szCs w:val="16"/>
          <w:lang w:val="ro-MD"/>
        </w:rPr>
      </w:pPr>
      <w:r w:rsidRPr="00AD06BB">
        <w:rPr>
          <w:rStyle w:val="FootnoteReference"/>
          <w:rFonts w:ascii="Times New Roman" w:hAnsi="Times New Roman" w:cs="Times New Roman"/>
          <w:sz w:val="16"/>
          <w:szCs w:val="16"/>
          <w:lang w:val="ro-MD"/>
        </w:rPr>
        <w:footnoteRef/>
      </w:r>
      <w:r w:rsidRPr="00AD06BB">
        <w:rPr>
          <w:rFonts w:ascii="Times New Roman" w:hAnsi="Times New Roman" w:cs="Times New Roman"/>
          <w:sz w:val="16"/>
          <w:szCs w:val="16"/>
          <w:lang w:val="ro-MD"/>
        </w:rPr>
        <w:t xml:space="preserve"> Ordinul MF nr.118 din 06.08.2013 privind aprobarea Standardelor Naționale de Contabilitate. </w:t>
      </w:r>
    </w:p>
  </w:footnote>
  <w:footnote w:id="20">
    <w:p w14:paraId="7C1F195A" w14:textId="77777777" w:rsidR="00CB1EF8" w:rsidRPr="009A115C" w:rsidRDefault="00CB1EF8" w:rsidP="00192B68">
      <w:pPr>
        <w:pStyle w:val="FootnoteText"/>
        <w:jc w:val="both"/>
        <w:rPr>
          <w:rFonts w:ascii="Times New Roman" w:hAnsi="Times New Roman" w:cs="Times New Roman"/>
          <w:sz w:val="16"/>
          <w:szCs w:val="16"/>
          <w:lang w:val="ro-MD"/>
        </w:rPr>
      </w:pPr>
      <w:r w:rsidRPr="009A115C">
        <w:rPr>
          <w:rStyle w:val="FootnoteReference"/>
          <w:rFonts w:ascii="Times New Roman" w:hAnsi="Times New Roman" w:cs="Times New Roman"/>
          <w:sz w:val="16"/>
          <w:szCs w:val="16"/>
          <w:lang w:val="ro-MD"/>
        </w:rPr>
        <w:footnoteRef/>
      </w:r>
      <w:r w:rsidRPr="009A115C">
        <w:rPr>
          <w:rFonts w:ascii="Times New Roman" w:hAnsi="Times New Roman" w:cs="Times New Roman"/>
          <w:sz w:val="16"/>
          <w:szCs w:val="16"/>
          <w:lang w:val="ro-MD"/>
        </w:rPr>
        <w:t xml:space="preserve"> HP nr.89 din 06.08.2021 pentru aprobarea listei ministerelor și HP nr.29 din 16.02.2023 pentru aprobarea listei ministerelor.</w:t>
      </w:r>
    </w:p>
  </w:footnote>
  <w:footnote w:id="21">
    <w:p w14:paraId="501C86BC" w14:textId="77B6E9A2" w:rsidR="00CB1EF8" w:rsidRPr="0027487A" w:rsidRDefault="00CB1EF8" w:rsidP="00192B68">
      <w:pPr>
        <w:pStyle w:val="FootnoteText"/>
        <w:rPr>
          <w:rFonts w:ascii="Times New Roman" w:hAnsi="Times New Roman" w:cs="Times New Roman"/>
          <w:sz w:val="16"/>
          <w:szCs w:val="16"/>
        </w:rPr>
      </w:pPr>
      <w:r w:rsidRPr="009A115C">
        <w:rPr>
          <w:rStyle w:val="FootnoteReference"/>
          <w:rFonts w:ascii="Times New Roman" w:hAnsi="Times New Roman" w:cs="Times New Roman"/>
          <w:sz w:val="16"/>
          <w:szCs w:val="16"/>
          <w:lang w:val="ro-MD"/>
        </w:rPr>
        <w:footnoteRef/>
      </w:r>
      <w:r w:rsidRPr="009A115C">
        <w:rPr>
          <w:rFonts w:ascii="Times New Roman" w:hAnsi="Times New Roman" w:cs="Times New Roman"/>
          <w:sz w:val="16"/>
          <w:szCs w:val="16"/>
          <w:lang w:val="ro-MD"/>
        </w:rPr>
        <w:t xml:space="preserve"> MAIA, MM, MIDR, MF, MS, MJ, MDED și ME</w:t>
      </w:r>
      <w:r>
        <w:rPr>
          <w:rFonts w:ascii="Times New Roman" w:hAnsi="Times New Roman" w:cs="Times New Roman"/>
          <w:sz w:val="16"/>
          <w:szCs w:val="16"/>
          <w:lang w:val="ro-MD"/>
        </w:rPr>
        <w:t>.</w:t>
      </w:r>
    </w:p>
  </w:footnote>
  <w:footnote w:id="22">
    <w:p w14:paraId="7169A9A5" w14:textId="4B2C2AF3" w:rsidR="00CB1EF8" w:rsidRPr="00354520" w:rsidRDefault="00CB1EF8" w:rsidP="00192B68">
      <w:pPr>
        <w:spacing w:after="0" w:line="240" w:lineRule="auto"/>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rPr>
        <w:footnoteRef/>
      </w:r>
      <w:r w:rsidRPr="00354520">
        <w:rPr>
          <w:rStyle w:val="FootnoteReference"/>
          <w:rFonts w:ascii="Times New Roman" w:hAnsi="Times New Roman" w:cs="Times New Roman"/>
          <w:sz w:val="16"/>
          <w:szCs w:val="16"/>
        </w:rPr>
        <w:t xml:space="preserve"> </w:t>
      </w:r>
      <w:r>
        <w:rPr>
          <w:rFonts w:ascii="Times New Roman" w:hAnsi="Times New Roman" w:cs="Times New Roman"/>
          <w:sz w:val="16"/>
          <w:szCs w:val="16"/>
          <w:lang w:val="ro-MD"/>
        </w:rPr>
        <w:t>HP nr. 189 din 21.07.</w:t>
      </w:r>
      <w:r w:rsidRPr="00354520">
        <w:rPr>
          <w:rFonts w:ascii="Times New Roman" w:hAnsi="Times New Roman" w:cs="Times New Roman"/>
          <w:sz w:val="16"/>
          <w:szCs w:val="16"/>
          <w:lang w:val="ro-MD"/>
        </w:rPr>
        <w:t>2017 pentru aprobarea listei ministerelor.</w:t>
      </w:r>
    </w:p>
  </w:footnote>
  <w:footnote w:id="23">
    <w:p w14:paraId="7D9E067D" w14:textId="38D59095"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rPr>
        <w:footnoteRef/>
      </w:r>
      <w:r w:rsidRPr="00354520">
        <w:rPr>
          <w:rFonts w:ascii="Times New Roman" w:hAnsi="Times New Roman" w:cs="Times New Roman"/>
          <w:sz w:val="16"/>
          <w:szCs w:val="16"/>
          <w:lang w:val="ro-MD"/>
        </w:rPr>
        <w:t xml:space="preserve"> </w:t>
      </w:r>
      <w:r>
        <w:rPr>
          <w:rFonts w:ascii="Times New Roman" w:hAnsi="Times New Roman" w:cs="Times New Roman"/>
          <w:sz w:val="16"/>
          <w:szCs w:val="16"/>
          <w:lang w:val="ro-MD"/>
        </w:rPr>
        <w:t>HP nr. 89 din 06.08.</w:t>
      </w:r>
      <w:r w:rsidRPr="00354520">
        <w:rPr>
          <w:rFonts w:ascii="Times New Roman" w:hAnsi="Times New Roman" w:cs="Times New Roman"/>
          <w:sz w:val="16"/>
          <w:szCs w:val="16"/>
          <w:lang w:val="ro-MD"/>
        </w:rPr>
        <w:t>2021 pentru aprobarea listei ministerelor.</w:t>
      </w:r>
    </w:p>
  </w:footnote>
  <w:footnote w:id="24">
    <w:p w14:paraId="326BEAD0" w14:textId="20FF0E02" w:rsidR="00CB1EF8" w:rsidRPr="00354520" w:rsidRDefault="00CB1EF8" w:rsidP="00192B68">
      <w:pPr>
        <w:spacing w:after="0" w:line="240" w:lineRule="auto"/>
        <w:jc w:val="both"/>
        <w:rPr>
          <w:rFonts w:ascii="Times New Roman" w:hAnsi="Times New Roman" w:cs="Times New Roman"/>
          <w:sz w:val="16"/>
          <w:szCs w:val="16"/>
        </w:rPr>
      </w:pPr>
      <w:r w:rsidRPr="00354520">
        <w:rPr>
          <w:rStyle w:val="FootnoteReference"/>
          <w:rFonts w:ascii="Times New Roman" w:hAnsi="Times New Roman" w:cs="Times New Roman"/>
          <w:sz w:val="16"/>
          <w:szCs w:val="16"/>
        </w:rPr>
        <w:footnoteRef/>
      </w:r>
      <w:r w:rsidRPr="00354520">
        <w:rPr>
          <w:rFonts w:ascii="Times New Roman" w:hAnsi="Times New Roman" w:cs="Times New Roman"/>
          <w:sz w:val="16"/>
          <w:szCs w:val="16"/>
          <w:lang w:val="ro-MD"/>
        </w:rPr>
        <w:t xml:space="preserve"> </w:t>
      </w:r>
      <w:r>
        <w:rPr>
          <w:rFonts w:ascii="Times New Roman" w:hAnsi="Times New Roman" w:cs="Times New Roman"/>
          <w:sz w:val="16"/>
          <w:szCs w:val="16"/>
          <w:lang w:val="ro-MD"/>
        </w:rPr>
        <w:t>HP nr. 29  din 16.02.</w:t>
      </w:r>
      <w:r w:rsidRPr="00354520">
        <w:rPr>
          <w:rFonts w:ascii="Times New Roman" w:hAnsi="Times New Roman" w:cs="Times New Roman"/>
          <w:sz w:val="16"/>
          <w:szCs w:val="16"/>
          <w:lang w:val="ro-MD"/>
        </w:rPr>
        <w:t>2023 pentru aprobarea listei ministerelor.</w:t>
      </w:r>
    </w:p>
  </w:footnote>
  <w:footnote w:id="25">
    <w:p w14:paraId="711BFBB6" w14:textId="77777777" w:rsidR="00CB1EF8" w:rsidRPr="00354520" w:rsidRDefault="00CB1EF8" w:rsidP="00192B68">
      <w:pPr>
        <w:pStyle w:val="FootnoteText"/>
        <w:jc w:val="both"/>
        <w:rPr>
          <w:rFonts w:ascii="Times New Roman" w:hAnsi="Times New Roman" w:cs="Times New Roman"/>
          <w:sz w:val="16"/>
          <w:szCs w:val="16"/>
        </w:rPr>
      </w:pPr>
      <w:r w:rsidRPr="00354520">
        <w:rPr>
          <w:rStyle w:val="FootnoteReference"/>
          <w:rFonts w:ascii="Times New Roman" w:hAnsi="Times New Roman" w:cs="Times New Roman"/>
          <w:sz w:val="16"/>
          <w:szCs w:val="16"/>
          <w:lang w:val="ro-MD"/>
        </w:rPr>
        <w:footnoteRef/>
      </w:r>
      <w:r w:rsidRPr="00354520">
        <w:rPr>
          <w:rStyle w:val="FootnoteReference"/>
          <w:rFonts w:ascii="Times New Roman" w:hAnsi="Times New Roman" w:cs="Times New Roman"/>
          <w:sz w:val="16"/>
          <w:szCs w:val="16"/>
          <w:lang w:val="ro-MD"/>
        </w:rPr>
        <w:t xml:space="preserve"> </w:t>
      </w:r>
      <w:r w:rsidRPr="00354520">
        <w:rPr>
          <w:rFonts w:ascii="Times New Roman" w:hAnsi="Times New Roman" w:cs="Times New Roman"/>
          <w:sz w:val="16"/>
          <w:szCs w:val="16"/>
          <w:lang w:val="ro-MD"/>
        </w:rPr>
        <w:t>HG nr. 271 din 20.04.2022 cu privire la organizarea și funcționarea Instituției Publice Oficiul Național de Dezvoltare Regională și Locală.</w:t>
      </w:r>
      <w:r w:rsidRPr="00354520">
        <w:rPr>
          <w:rFonts w:ascii="Times New Roman" w:hAnsi="Times New Roman" w:cs="Times New Roman"/>
          <w:sz w:val="16"/>
          <w:szCs w:val="16"/>
        </w:rPr>
        <w:t xml:space="preserve"> </w:t>
      </w:r>
    </w:p>
  </w:footnote>
  <w:footnote w:id="26">
    <w:p w14:paraId="59946043" w14:textId="77777777"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HG nr.391 din 19.04.2000 cu privire la crearea IP „Unitatea de coordonare, implementare și monitorizare a proiectelor în domeniul sănătății”.</w:t>
      </w:r>
    </w:p>
  </w:footnote>
  <w:footnote w:id="27">
    <w:p w14:paraId="2C3DE0F4" w14:textId="77777777"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HG nr.1276 din 21.12.2000 cu privire la crearea Unității consolidate pentru implementarea și monitorizarea proiectelor în domeniul energeticii.</w:t>
      </w:r>
    </w:p>
  </w:footnote>
  <w:footnote w:id="28">
    <w:p w14:paraId="5CEBB8B8" w14:textId="1CFB2384"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Anexa nr. 5 </w:t>
      </w:r>
      <w:r>
        <w:rPr>
          <w:rFonts w:ascii="Times New Roman" w:hAnsi="Times New Roman" w:cs="Times New Roman"/>
          <w:sz w:val="16"/>
          <w:szCs w:val="16"/>
          <w:lang w:val="ro-MD"/>
        </w:rPr>
        <w:t>la</w:t>
      </w:r>
      <w:r w:rsidRPr="00354520">
        <w:rPr>
          <w:rFonts w:ascii="Times New Roman" w:hAnsi="Times New Roman" w:cs="Times New Roman"/>
          <w:sz w:val="16"/>
          <w:szCs w:val="16"/>
          <w:lang w:val="ro-MD"/>
        </w:rPr>
        <w:t xml:space="preserve"> HG nr.148 din 25.08.2021 cu privire la organizarea și funcționarea Ministerului Sănătății.</w:t>
      </w:r>
    </w:p>
  </w:footnote>
  <w:footnote w:id="29">
    <w:p w14:paraId="5A1A6101" w14:textId="1A5C1C4B"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Anexa nr.5 </w:t>
      </w:r>
      <w:r>
        <w:rPr>
          <w:rFonts w:ascii="Times New Roman" w:hAnsi="Times New Roman" w:cs="Times New Roman"/>
          <w:sz w:val="16"/>
          <w:szCs w:val="16"/>
          <w:lang w:val="ro-MD"/>
        </w:rPr>
        <w:t>la</w:t>
      </w:r>
      <w:r w:rsidRPr="00354520">
        <w:rPr>
          <w:rFonts w:ascii="Times New Roman" w:hAnsi="Times New Roman" w:cs="Times New Roman"/>
          <w:sz w:val="16"/>
          <w:szCs w:val="16"/>
          <w:lang w:val="ro-MD"/>
        </w:rPr>
        <w:t xml:space="preserve"> HG nr.118 din 07.03.2023 cu privire la organizarea și funcționarea Ministerului Energiei. </w:t>
      </w:r>
    </w:p>
  </w:footnote>
  <w:footnote w:id="30">
    <w:p w14:paraId="41084E5C" w14:textId="77777777"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HG nr.173 din 12.03.2014 cu privire la Unitatea de implementare a Proiectului de construcție a penitenciarului din Chișinău. </w:t>
      </w:r>
    </w:p>
  </w:footnote>
  <w:footnote w:id="31">
    <w:p w14:paraId="76B307F2" w14:textId="450EDFE8" w:rsidR="00CB1EF8" w:rsidRPr="003545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Anexa nr.4 </w:t>
      </w:r>
      <w:r>
        <w:rPr>
          <w:rFonts w:ascii="Times New Roman" w:hAnsi="Times New Roman" w:cs="Times New Roman"/>
          <w:sz w:val="16"/>
          <w:szCs w:val="16"/>
          <w:lang w:val="ro-MD"/>
        </w:rPr>
        <w:t>la</w:t>
      </w:r>
      <w:r w:rsidRPr="00354520">
        <w:rPr>
          <w:rFonts w:ascii="Times New Roman" w:hAnsi="Times New Roman" w:cs="Times New Roman"/>
          <w:sz w:val="16"/>
          <w:szCs w:val="16"/>
          <w:lang w:val="ro-MD"/>
        </w:rPr>
        <w:t xml:space="preserve"> HG nr.698 din 30.08.2017 cu privire la organizarea și funcționarea Ministerului Justiției.  </w:t>
      </w:r>
    </w:p>
  </w:footnote>
  <w:footnote w:id="32">
    <w:p w14:paraId="4D44B7AA" w14:textId="77777777" w:rsidR="00CB1EF8" w:rsidRPr="00A94120" w:rsidRDefault="00CB1EF8" w:rsidP="00192B68">
      <w:pPr>
        <w:pStyle w:val="FootnoteText"/>
        <w:jc w:val="both"/>
        <w:rPr>
          <w:rFonts w:ascii="Times New Roman" w:hAnsi="Times New Roman" w:cs="Times New Roman"/>
          <w:sz w:val="16"/>
          <w:szCs w:val="16"/>
          <w:lang w:val="ro-MD"/>
        </w:rPr>
      </w:pPr>
      <w:r w:rsidRPr="00354520">
        <w:rPr>
          <w:rStyle w:val="FootnoteReference"/>
          <w:rFonts w:ascii="Times New Roman" w:hAnsi="Times New Roman" w:cs="Times New Roman"/>
          <w:sz w:val="16"/>
          <w:szCs w:val="16"/>
          <w:lang w:val="ro-MD"/>
        </w:rPr>
        <w:footnoteRef/>
      </w:r>
      <w:r w:rsidRPr="00354520">
        <w:rPr>
          <w:rFonts w:ascii="Times New Roman" w:hAnsi="Times New Roman" w:cs="Times New Roman"/>
          <w:sz w:val="16"/>
          <w:szCs w:val="16"/>
          <w:lang w:val="ro-MD"/>
        </w:rPr>
        <w:t xml:space="preserve"> HG nr.437 din 15.05.2018 cu privire la organizarea și funcționarea Administrației Publice a Penitenciarelor.</w:t>
      </w:r>
    </w:p>
  </w:footnote>
  <w:footnote w:id="33">
    <w:p w14:paraId="17149965" w14:textId="3F902438" w:rsidR="00CB1EF8" w:rsidRPr="00FA2137" w:rsidRDefault="00CB1EF8" w:rsidP="00FA2137">
      <w:pPr>
        <w:pStyle w:val="FootnoteText"/>
        <w:jc w:val="both"/>
        <w:rPr>
          <w:rFonts w:ascii="Times New Roman" w:hAnsi="Times New Roman" w:cs="Times New Roman"/>
          <w:sz w:val="16"/>
          <w:szCs w:val="16"/>
          <w:lang w:val="ro-MD"/>
        </w:rPr>
      </w:pPr>
      <w:r w:rsidRPr="00FA2137">
        <w:rPr>
          <w:rStyle w:val="FootnoteReference"/>
          <w:rFonts w:ascii="Times New Roman" w:hAnsi="Times New Roman" w:cs="Times New Roman"/>
          <w:sz w:val="16"/>
          <w:szCs w:val="16"/>
          <w:lang w:val="ro-MD"/>
        </w:rPr>
        <w:footnoteRef/>
      </w:r>
      <w:r w:rsidRPr="00FA2137">
        <w:rPr>
          <w:rFonts w:ascii="Times New Roman" w:hAnsi="Times New Roman" w:cs="Times New Roman"/>
          <w:sz w:val="16"/>
          <w:szCs w:val="16"/>
          <w:lang w:val="ro-MD"/>
        </w:rPr>
        <w:t xml:space="preserve"> Monitorizarea activității UIPFAE se efectuează prin: Comitete de supraveghere – în 6 cazuri (ONIPM, UCIPE, UCIP IFAD, UIPCLPSV II, UIPCP</w:t>
      </w:r>
      <w:r>
        <w:rPr>
          <w:rFonts w:ascii="Times New Roman" w:hAnsi="Times New Roman" w:cs="Times New Roman"/>
          <w:sz w:val="16"/>
          <w:szCs w:val="16"/>
          <w:lang w:val="ro-MD"/>
        </w:rPr>
        <w:t>C</w:t>
      </w:r>
      <w:r w:rsidRPr="00FA2137">
        <w:rPr>
          <w:rFonts w:ascii="Times New Roman" w:hAnsi="Times New Roman" w:cs="Times New Roman"/>
          <w:sz w:val="16"/>
          <w:szCs w:val="16"/>
          <w:lang w:val="ro-MD"/>
        </w:rPr>
        <w:t>, ADMA), Consilii de supraveghere – în 2 cazuri ( OGPAE, UCIMPRSVV), Consilii de observatori – în 2 cazuri (UCIMPA, UIPAC) și, respectiv, Consiliu de administrare – 1 caz (UCIMP DS).</w:t>
      </w:r>
    </w:p>
  </w:footnote>
  <w:footnote w:id="34">
    <w:p w14:paraId="0C4D7B81" w14:textId="61ABAB4B" w:rsidR="00CB1EF8" w:rsidRPr="00FA2137" w:rsidRDefault="00CB1EF8" w:rsidP="003C0F01">
      <w:pPr>
        <w:pStyle w:val="FootnoteText"/>
        <w:jc w:val="both"/>
        <w:rPr>
          <w:rFonts w:ascii="Times New Roman" w:hAnsi="Times New Roman" w:cs="Times New Roman"/>
          <w:sz w:val="16"/>
          <w:szCs w:val="16"/>
          <w:lang w:val="ro-MD"/>
        </w:rPr>
      </w:pPr>
      <w:r w:rsidRPr="00FA2137">
        <w:rPr>
          <w:rStyle w:val="FootnoteReference"/>
          <w:rFonts w:ascii="Times New Roman" w:hAnsi="Times New Roman" w:cs="Times New Roman"/>
          <w:sz w:val="16"/>
          <w:szCs w:val="16"/>
          <w:lang w:val="ro-MD"/>
        </w:rPr>
        <w:footnoteRef/>
      </w:r>
      <w:r w:rsidRPr="00FA2137">
        <w:rPr>
          <w:rFonts w:ascii="Times New Roman" w:hAnsi="Times New Roman" w:cs="Times New Roman"/>
          <w:sz w:val="16"/>
          <w:szCs w:val="16"/>
          <w:lang w:val="ro-MD"/>
        </w:rPr>
        <w:t xml:space="preserve"> Prin HG cu privire la crearea UIPFAE au fost aprobate componențele nominale a</w:t>
      </w:r>
      <w:r>
        <w:rPr>
          <w:rFonts w:ascii="Times New Roman" w:hAnsi="Times New Roman" w:cs="Times New Roman"/>
          <w:sz w:val="16"/>
          <w:szCs w:val="16"/>
          <w:lang w:val="ro-MD"/>
        </w:rPr>
        <w:t>le</w:t>
      </w:r>
      <w:r w:rsidRPr="00FA2137">
        <w:rPr>
          <w:rFonts w:ascii="Times New Roman" w:hAnsi="Times New Roman" w:cs="Times New Roman"/>
          <w:sz w:val="16"/>
          <w:szCs w:val="16"/>
          <w:lang w:val="ro-MD"/>
        </w:rPr>
        <w:t xml:space="preserve"> Organelor colegiale de supraveghere pentru următoarele UIPFAE: UCIMP DS</w:t>
      </w:r>
      <w:r>
        <w:rPr>
          <w:rFonts w:ascii="Times New Roman" w:hAnsi="Times New Roman" w:cs="Times New Roman"/>
          <w:sz w:val="16"/>
          <w:szCs w:val="16"/>
          <w:lang w:val="ro-MD"/>
        </w:rPr>
        <w:t>, UCIPE, UIPAC și</w:t>
      </w:r>
      <w:r w:rsidRPr="00FA2137">
        <w:rPr>
          <w:rFonts w:ascii="Times New Roman" w:hAnsi="Times New Roman" w:cs="Times New Roman"/>
          <w:sz w:val="16"/>
          <w:szCs w:val="16"/>
          <w:lang w:val="ro-MD"/>
        </w:rPr>
        <w:t xml:space="preserve"> UIPCPC.</w:t>
      </w:r>
    </w:p>
  </w:footnote>
  <w:footnote w:id="35">
    <w:p w14:paraId="0A154B98" w14:textId="13A15564" w:rsidR="00CB1EF8" w:rsidRPr="00FA2137" w:rsidRDefault="00CB1EF8" w:rsidP="00FA2137">
      <w:pPr>
        <w:pStyle w:val="FootnoteText"/>
        <w:rPr>
          <w:lang w:val="ro-MD"/>
        </w:rPr>
      </w:pPr>
      <w:r w:rsidRPr="00FA2137">
        <w:rPr>
          <w:rStyle w:val="FootnoteReference"/>
          <w:rFonts w:ascii="Times New Roman" w:hAnsi="Times New Roman" w:cs="Times New Roman"/>
          <w:sz w:val="16"/>
          <w:szCs w:val="16"/>
          <w:lang w:val="ro-MD"/>
        </w:rPr>
        <w:footnoteRef/>
      </w:r>
      <w:r w:rsidRPr="00FA2137">
        <w:rPr>
          <w:rFonts w:ascii="Times New Roman" w:hAnsi="Times New Roman" w:cs="Times New Roman"/>
          <w:sz w:val="16"/>
          <w:szCs w:val="16"/>
          <w:lang w:val="ro-MD"/>
        </w:rPr>
        <w:t xml:space="preserve"> Atribuțiile ministrului</w:t>
      </w:r>
      <w:r>
        <w:rPr>
          <w:rFonts w:ascii="Times New Roman" w:hAnsi="Times New Roman" w:cs="Times New Roman"/>
          <w:sz w:val="16"/>
          <w:szCs w:val="16"/>
          <w:lang w:val="ro-MD"/>
        </w:rPr>
        <w:t xml:space="preserve"> sunt</w:t>
      </w:r>
      <w:r w:rsidRPr="00FA2137">
        <w:rPr>
          <w:rFonts w:ascii="Times New Roman" w:hAnsi="Times New Roman" w:cs="Times New Roman"/>
          <w:sz w:val="16"/>
          <w:szCs w:val="16"/>
          <w:lang w:val="ro-MD"/>
        </w:rPr>
        <w:t xml:space="preserve"> stabilite în Legea </w:t>
      </w:r>
      <w:r>
        <w:rPr>
          <w:rFonts w:ascii="Times New Roman" w:hAnsi="Times New Roman" w:cs="Times New Roman"/>
          <w:sz w:val="16"/>
          <w:szCs w:val="16"/>
          <w:lang w:val="ro-MD"/>
        </w:rPr>
        <w:t>nr.136 din 07.07.2017 cu privire la Guvern.</w:t>
      </w:r>
    </w:p>
  </w:footnote>
  <w:footnote w:id="36">
    <w:p w14:paraId="0AC2C771" w14:textId="2D7B55C3" w:rsidR="00CB1EF8" w:rsidRPr="0089371F" w:rsidRDefault="00CB1EF8" w:rsidP="001D2539">
      <w:pPr>
        <w:pStyle w:val="FootnoteText"/>
        <w:rPr>
          <w:rFonts w:ascii="Times New Roman" w:hAnsi="Times New Roman" w:cs="Times New Roman"/>
          <w:sz w:val="16"/>
          <w:szCs w:val="16"/>
          <w:lang w:val="ro-MD"/>
        </w:rPr>
      </w:pPr>
      <w:r w:rsidRPr="0089371F">
        <w:rPr>
          <w:rStyle w:val="FootnoteReference"/>
          <w:rFonts w:ascii="Times New Roman" w:hAnsi="Times New Roman" w:cs="Times New Roman"/>
          <w:sz w:val="16"/>
          <w:szCs w:val="16"/>
          <w:lang w:val="ro-MD"/>
        </w:rPr>
        <w:footnoteRef/>
      </w:r>
      <w:r w:rsidRPr="0089371F">
        <w:rPr>
          <w:rFonts w:ascii="Times New Roman" w:hAnsi="Times New Roman" w:cs="Times New Roman"/>
          <w:sz w:val="16"/>
          <w:szCs w:val="16"/>
          <w:lang w:val="ro-MD"/>
        </w:rPr>
        <w:t xml:space="preserve"> HG nr.878 din 29.09.1999 cu privire la crearea Unității consolidate pentru implementarea și monitorizarea proiectelor în domeniul agriculturii, finanțate de Banca Mondială.</w:t>
      </w:r>
    </w:p>
  </w:footnote>
  <w:footnote w:id="37">
    <w:p w14:paraId="1387C61A" w14:textId="77777777" w:rsidR="00CB1EF8" w:rsidRPr="0089371F" w:rsidRDefault="00CB1EF8" w:rsidP="001D2539">
      <w:pPr>
        <w:pStyle w:val="FootnoteText"/>
        <w:rPr>
          <w:rFonts w:ascii="Times New Roman" w:hAnsi="Times New Roman" w:cs="Times New Roman"/>
          <w:sz w:val="16"/>
          <w:szCs w:val="16"/>
          <w:lang w:val="ro-MD"/>
        </w:rPr>
      </w:pPr>
      <w:r w:rsidRPr="0089371F">
        <w:rPr>
          <w:rStyle w:val="FootnoteReference"/>
          <w:rFonts w:ascii="Times New Roman" w:hAnsi="Times New Roman" w:cs="Times New Roman"/>
          <w:sz w:val="16"/>
          <w:szCs w:val="16"/>
          <w:lang w:val="ro-MD"/>
        </w:rPr>
        <w:footnoteRef/>
      </w:r>
      <w:r w:rsidRPr="0089371F">
        <w:rPr>
          <w:rFonts w:ascii="Times New Roman" w:hAnsi="Times New Roman" w:cs="Times New Roman"/>
          <w:sz w:val="16"/>
          <w:szCs w:val="16"/>
          <w:lang w:val="ro-MD"/>
        </w:rPr>
        <w:t xml:space="preserve"> Legea nr.158 din 04.07.2008 cu privire la funcția publică și statutul funcționarului public. </w:t>
      </w:r>
    </w:p>
  </w:footnote>
  <w:footnote w:id="38">
    <w:p w14:paraId="5AC79CCC" w14:textId="05F95E98" w:rsidR="00CB1EF8" w:rsidRPr="005F6226" w:rsidRDefault="00CB1EF8">
      <w:pPr>
        <w:pStyle w:val="FootnoteText"/>
        <w:rPr>
          <w:rFonts w:ascii="Times New Roman" w:hAnsi="Times New Roman" w:cs="Times New Roman"/>
          <w:sz w:val="16"/>
          <w:szCs w:val="16"/>
          <w:lang w:val="ro-MD"/>
        </w:rPr>
      </w:pPr>
      <w:r w:rsidRPr="005F6226">
        <w:rPr>
          <w:rStyle w:val="FootnoteReference"/>
          <w:rFonts w:ascii="Times New Roman" w:hAnsi="Times New Roman" w:cs="Times New Roman"/>
          <w:sz w:val="16"/>
          <w:szCs w:val="16"/>
          <w:lang w:val="ro-MD"/>
        </w:rPr>
        <w:footnoteRef/>
      </w:r>
      <w:r w:rsidRPr="005F6226">
        <w:rPr>
          <w:rFonts w:ascii="Times New Roman" w:hAnsi="Times New Roman" w:cs="Times New Roman"/>
          <w:sz w:val="16"/>
          <w:szCs w:val="16"/>
          <w:lang w:val="ro-MD"/>
        </w:rPr>
        <w:t xml:space="preserve"> Codul muncii a</w:t>
      </w:r>
      <w:r>
        <w:rPr>
          <w:rFonts w:ascii="Times New Roman" w:hAnsi="Times New Roman" w:cs="Times New Roman"/>
          <w:sz w:val="16"/>
          <w:szCs w:val="16"/>
          <w:lang w:val="ro-MD"/>
        </w:rPr>
        <w:t>l</w:t>
      </w:r>
      <w:r w:rsidRPr="005F6226">
        <w:rPr>
          <w:rFonts w:ascii="Times New Roman" w:hAnsi="Times New Roman" w:cs="Times New Roman"/>
          <w:sz w:val="16"/>
          <w:szCs w:val="16"/>
          <w:lang w:val="ro-MD"/>
        </w:rPr>
        <w:t xml:space="preserve"> Republicii Moldova nr.154 din 28.03.2003.</w:t>
      </w:r>
    </w:p>
  </w:footnote>
  <w:footnote w:id="39">
    <w:p w14:paraId="36D737A5" w14:textId="77777777" w:rsidR="00CB1EF8" w:rsidRPr="006764A2" w:rsidRDefault="00CB1EF8" w:rsidP="00EE670D">
      <w:pPr>
        <w:pStyle w:val="FootnoteText"/>
        <w:rPr>
          <w:rFonts w:ascii="Times New Roman" w:hAnsi="Times New Roman" w:cs="Times New Roman"/>
          <w:sz w:val="16"/>
          <w:szCs w:val="16"/>
          <w:lang w:val="ro-MD"/>
        </w:rPr>
      </w:pPr>
      <w:r w:rsidRPr="006764A2">
        <w:rPr>
          <w:rStyle w:val="FootnoteReference"/>
          <w:rFonts w:ascii="Times New Roman" w:hAnsi="Times New Roman" w:cs="Times New Roman"/>
          <w:sz w:val="16"/>
          <w:szCs w:val="16"/>
          <w:lang w:val="ro-MD"/>
        </w:rPr>
        <w:footnoteRef/>
      </w:r>
      <w:r w:rsidRPr="006764A2">
        <w:rPr>
          <w:rFonts w:ascii="Times New Roman" w:hAnsi="Times New Roman" w:cs="Times New Roman"/>
          <w:sz w:val="16"/>
          <w:szCs w:val="16"/>
          <w:lang w:val="ro-MD"/>
        </w:rPr>
        <w:t xml:space="preserve"> HG nr.386 din 17.06.2020 cu privire la planificarea strategică (denumire modificată prin HG nr.661 din 25.09.2024).</w:t>
      </w:r>
    </w:p>
  </w:footnote>
  <w:footnote w:id="40">
    <w:p w14:paraId="797E803E" w14:textId="77777777" w:rsidR="00CB1EF8" w:rsidRPr="006764A2" w:rsidRDefault="00CB1EF8">
      <w:pPr>
        <w:pStyle w:val="FootnoteText"/>
        <w:rPr>
          <w:rFonts w:ascii="Times New Roman" w:hAnsi="Times New Roman" w:cs="Times New Roman"/>
          <w:sz w:val="16"/>
          <w:szCs w:val="16"/>
          <w:lang w:val="ro-MD"/>
        </w:rPr>
      </w:pPr>
      <w:r w:rsidRPr="006764A2">
        <w:rPr>
          <w:rStyle w:val="FootnoteReference"/>
          <w:rFonts w:ascii="Times New Roman" w:hAnsi="Times New Roman" w:cs="Times New Roman"/>
          <w:sz w:val="16"/>
          <w:szCs w:val="16"/>
          <w:lang w:val="ro-MD"/>
        </w:rPr>
        <w:footnoteRef/>
      </w:r>
      <w:r w:rsidRPr="006764A2">
        <w:rPr>
          <w:rFonts w:ascii="Times New Roman" w:hAnsi="Times New Roman" w:cs="Times New Roman"/>
          <w:sz w:val="16"/>
          <w:szCs w:val="16"/>
          <w:lang w:val="ro-MD"/>
        </w:rPr>
        <w:t xml:space="preserve"> Legea nr.166 din 11.07.2012 pentru aprobarea Strategiei naționale de dezvoltare „Moldova 2020”.</w:t>
      </w:r>
    </w:p>
  </w:footnote>
  <w:footnote w:id="41">
    <w:p w14:paraId="050AB96C" w14:textId="77777777" w:rsidR="00CB1EF8" w:rsidRPr="006764A2" w:rsidRDefault="00CB1EF8">
      <w:pPr>
        <w:pStyle w:val="FootnoteText"/>
        <w:rPr>
          <w:rFonts w:ascii="Times New Roman" w:hAnsi="Times New Roman" w:cs="Times New Roman"/>
          <w:sz w:val="16"/>
          <w:szCs w:val="16"/>
          <w:lang w:val="ro-MD"/>
        </w:rPr>
      </w:pPr>
      <w:r w:rsidRPr="006764A2">
        <w:rPr>
          <w:rStyle w:val="FootnoteReference"/>
          <w:rFonts w:ascii="Times New Roman" w:hAnsi="Times New Roman" w:cs="Times New Roman"/>
          <w:sz w:val="16"/>
          <w:szCs w:val="16"/>
          <w:lang w:val="ro-MD"/>
        </w:rPr>
        <w:footnoteRef/>
      </w:r>
      <w:r w:rsidRPr="006764A2">
        <w:rPr>
          <w:rFonts w:ascii="Times New Roman" w:hAnsi="Times New Roman" w:cs="Times New Roman"/>
          <w:sz w:val="16"/>
          <w:szCs w:val="16"/>
          <w:lang w:val="ro-MD"/>
        </w:rPr>
        <w:t xml:space="preserve"> Legea nr.315 din 17.11.2022 pentru aprobarea Strategiei naționale de dezvoltare „Moldova Europeană 2030”.</w:t>
      </w:r>
    </w:p>
  </w:footnote>
  <w:footnote w:id="42">
    <w:p w14:paraId="0778111F" w14:textId="09048CCB" w:rsidR="00CB1EF8" w:rsidRPr="00EC4428" w:rsidRDefault="00CB1EF8" w:rsidP="00B04DD4">
      <w:pPr>
        <w:pStyle w:val="FootnoteText"/>
        <w:jc w:val="both"/>
        <w:rPr>
          <w:rFonts w:ascii="Times New Roman" w:hAnsi="Times New Roman" w:cs="Times New Roman"/>
          <w:sz w:val="16"/>
          <w:szCs w:val="16"/>
          <w:lang w:val="ro-MD"/>
        </w:rPr>
      </w:pPr>
      <w:r w:rsidRPr="00EC4428">
        <w:rPr>
          <w:rStyle w:val="FootnoteReference"/>
          <w:rFonts w:ascii="Times New Roman" w:hAnsi="Times New Roman" w:cs="Times New Roman"/>
          <w:sz w:val="16"/>
          <w:szCs w:val="16"/>
          <w:lang w:val="ro-MD"/>
        </w:rPr>
        <w:footnoteRef/>
      </w:r>
      <w:r w:rsidRPr="00EC4428">
        <w:rPr>
          <w:rFonts w:ascii="Times New Roman" w:hAnsi="Times New Roman" w:cs="Times New Roman"/>
          <w:sz w:val="16"/>
          <w:szCs w:val="16"/>
          <w:lang w:val="ro-MD"/>
        </w:rPr>
        <w:t xml:space="preserve"> Legea nr. 182 din 11.07.2012 pentru ratificarea Acordului-cadru de împrumut dintre </w:t>
      </w:r>
      <w:r>
        <w:rPr>
          <w:rFonts w:ascii="Times New Roman" w:hAnsi="Times New Roman" w:cs="Times New Roman"/>
          <w:sz w:val="16"/>
          <w:szCs w:val="16"/>
          <w:lang w:val="ro-MD"/>
        </w:rPr>
        <w:t>R</w:t>
      </w:r>
      <w:r w:rsidRPr="00EC4428">
        <w:rPr>
          <w:rFonts w:ascii="Times New Roman" w:hAnsi="Times New Roman" w:cs="Times New Roman"/>
          <w:sz w:val="16"/>
          <w:szCs w:val="16"/>
          <w:lang w:val="ro-MD"/>
        </w:rPr>
        <w:t>epublica Moldova și Banca de Dezvoltare a Consiliului Europei întru realizarea Proiectului de construcţie a locuințelor pentru păturile socialmente vulnerabile II.</w:t>
      </w:r>
    </w:p>
  </w:footnote>
  <w:footnote w:id="43">
    <w:p w14:paraId="24357E2C" w14:textId="316E939C" w:rsidR="00CB1EF8" w:rsidRPr="00EC4428" w:rsidRDefault="00CB1EF8" w:rsidP="00B04DD4">
      <w:pPr>
        <w:pStyle w:val="FootnoteText"/>
        <w:jc w:val="both"/>
        <w:rPr>
          <w:rFonts w:ascii="Times New Roman" w:hAnsi="Times New Roman" w:cs="Times New Roman"/>
          <w:sz w:val="16"/>
          <w:szCs w:val="16"/>
          <w:lang w:val="ro-MD"/>
        </w:rPr>
      </w:pPr>
      <w:r w:rsidRPr="00EC4428">
        <w:rPr>
          <w:rStyle w:val="FootnoteReference"/>
          <w:rFonts w:ascii="Times New Roman" w:hAnsi="Times New Roman" w:cs="Times New Roman"/>
          <w:sz w:val="16"/>
          <w:szCs w:val="16"/>
          <w:lang w:val="ro-MD"/>
        </w:rPr>
        <w:footnoteRef/>
      </w:r>
      <w:r w:rsidRPr="00EC4428">
        <w:rPr>
          <w:rFonts w:ascii="Times New Roman" w:hAnsi="Times New Roman" w:cs="Times New Roman"/>
          <w:sz w:val="16"/>
          <w:szCs w:val="16"/>
          <w:lang w:val="ro-MD"/>
        </w:rPr>
        <w:t xml:space="preserve"> Au fost </w:t>
      </w:r>
      <w:r w:rsidRPr="00EC4428">
        <w:rPr>
          <w:rFonts w:ascii="Times New Roman" w:hAnsi="Times New Roman" w:cs="Times New Roman"/>
          <w:color w:val="000000"/>
          <w:sz w:val="16"/>
          <w:szCs w:val="16"/>
          <w:lang w:val="ro-MD"/>
        </w:rPr>
        <w:t>reconstruite 14 din cele 15 blocuri de apartamente planificate (sau 93,33 %), au fost create 677 din cele 700 de locuințe sociale planificate (96,71 %), iar beneficiari</w:t>
      </w:r>
      <w:r>
        <w:rPr>
          <w:rFonts w:ascii="Times New Roman" w:hAnsi="Times New Roman" w:cs="Times New Roman"/>
          <w:color w:val="000000"/>
          <w:sz w:val="16"/>
          <w:szCs w:val="16"/>
          <w:lang w:val="ro-MD"/>
        </w:rPr>
        <w:t>i</w:t>
      </w:r>
      <w:r w:rsidRPr="00EC4428">
        <w:rPr>
          <w:rFonts w:ascii="Times New Roman" w:hAnsi="Times New Roman" w:cs="Times New Roman"/>
          <w:color w:val="000000"/>
          <w:sz w:val="16"/>
          <w:szCs w:val="16"/>
          <w:lang w:val="ro-MD"/>
        </w:rPr>
        <w:t xml:space="preserve"> finali ai Proiectului au f</w:t>
      </w:r>
      <w:r>
        <w:rPr>
          <w:rFonts w:ascii="Times New Roman" w:hAnsi="Times New Roman" w:cs="Times New Roman"/>
          <w:color w:val="000000"/>
          <w:sz w:val="16"/>
          <w:szCs w:val="16"/>
          <w:lang w:val="ro-MD"/>
        </w:rPr>
        <w:t>ost 2.300 de persoane din grupul-</w:t>
      </w:r>
      <w:r w:rsidRPr="00EC4428">
        <w:rPr>
          <w:rFonts w:ascii="Times New Roman" w:hAnsi="Times New Roman" w:cs="Times New Roman"/>
          <w:color w:val="000000"/>
          <w:sz w:val="16"/>
          <w:szCs w:val="16"/>
          <w:lang w:val="ro-MD"/>
        </w:rPr>
        <w:t>țintă de 2</w:t>
      </w:r>
      <w:r>
        <w:rPr>
          <w:rFonts w:ascii="Times New Roman" w:hAnsi="Times New Roman" w:cs="Times New Roman"/>
          <w:color w:val="000000"/>
          <w:sz w:val="16"/>
          <w:szCs w:val="16"/>
          <w:lang w:val="ro-MD"/>
        </w:rPr>
        <w:t>.</w:t>
      </w:r>
      <w:r w:rsidRPr="00EC4428">
        <w:rPr>
          <w:rFonts w:ascii="Times New Roman" w:hAnsi="Times New Roman" w:cs="Times New Roman"/>
          <w:color w:val="000000"/>
          <w:sz w:val="16"/>
          <w:szCs w:val="16"/>
          <w:lang w:val="ro-MD"/>
        </w:rPr>
        <w:t>500</w:t>
      </w:r>
      <w:r>
        <w:rPr>
          <w:rFonts w:ascii="Times New Roman" w:hAnsi="Times New Roman" w:cs="Times New Roman"/>
          <w:color w:val="000000"/>
          <w:sz w:val="16"/>
          <w:szCs w:val="16"/>
          <w:lang w:val="ro-MD"/>
        </w:rPr>
        <w:t xml:space="preserve"> de</w:t>
      </w:r>
      <w:r w:rsidRPr="00EC4428">
        <w:rPr>
          <w:rFonts w:ascii="Times New Roman" w:hAnsi="Times New Roman" w:cs="Times New Roman"/>
          <w:color w:val="000000"/>
          <w:sz w:val="16"/>
          <w:szCs w:val="16"/>
          <w:lang w:val="ro-MD"/>
        </w:rPr>
        <w:t xml:space="preserve"> persoane, stabilit la etapa de planificare (92,00 %).</w:t>
      </w:r>
    </w:p>
  </w:footnote>
  <w:footnote w:id="44">
    <w:p w14:paraId="33362265" w14:textId="63BE3DB2" w:rsidR="00CB1EF8" w:rsidRPr="006036F2" w:rsidRDefault="00CB1EF8" w:rsidP="00B04DD4">
      <w:pPr>
        <w:pStyle w:val="FootnoteText"/>
        <w:jc w:val="both"/>
      </w:pPr>
      <w:r w:rsidRPr="00EC4428">
        <w:rPr>
          <w:rStyle w:val="FootnoteReference"/>
          <w:rFonts w:ascii="Times New Roman" w:hAnsi="Times New Roman" w:cs="Times New Roman"/>
          <w:sz w:val="16"/>
          <w:szCs w:val="16"/>
          <w:lang w:val="ro-MD"/>
        </w:rPr>
        <w:footnoteRef/>
      </w:r>
      <w:r w:rsidRPr="00EC4428">
        <w:rPr>
          <w:rFonts w:ascii="Times New Roman" w:hAnsi="Times New Roman" w:cs="Times New Roman"/>
          <w:sz w:val="16"/>
          <w:szCs w:val="16"/>
          <w:lang w:val="ro-MD"/>
        </w:rPr>
        <w:t xml:space="preserve"> Legea nr.168 din 10.09.2020 privind ratificarea Acordului-cadru de împrumut dintre Republica Moldova și Banca de Dezvoltare a Consiliului Europei pentru realizarea Proiectului </w:t>
      </w:r>
      <w:r w:rsidRPr="00EC4428">
        <w:rPr>
          <w:rFonts w:ascii="Times New Roman" w:hAnsi="Times New Roman" w:cs="Times New Roman"/>
          <w:color w:val="000000"/>
          <w:sz w:val="16"/>
          <w:szCs w:val="16"/>
          <w:lang w:val="ro-MD"/>
        </w:rPr>
        <w:t>„</w:t>
      </w:r>
      <w:r w:rsidRPr="00EC4428">
        <w:rPr>
          <w:rFonts w:ascii="Times New Roman" w:hAnsi="Times New Roman" w:cs="Times New Roman"/>
          <w:sz w:val="16"/>
          <w:szCs w:val="16"/>
          <w:lang w:val="ro-MD"/>
        </w:rPr>
        <w:t>Răspuns de urgență la COVID-19 și suport pentru întreprinderile micro, mici și mijlocii”</w:t>
      </w:r>
      <w:r>
        <w:rPr>
          <w:rFonts w:ascii="Times New Roman" w:hAnsi="Times New Roman" w:cs="Times New Roman"/>
          <w:sz w:val="16"/>
          <w:szCs w:val="16"/>
          <w:lang w:val="ro-MD"/>
        </w:rPr>
        <w:t>.</w:t>
      </w:r>
      <w:r>
        <w:t xml:space="preserve"> </w:t>
      </w:r>
    </w:p>
  </w:footnote>
  <w:footnote w:id="45">
    <w:p w14:paraId="3ED25050" w14:textId="51D16B34" w:rsidR="00CB1EF8" w:rsidRPr="00955569" w:rsidRDefault="00CB1EF8" w:rsidP="00B04DD4">
      <w:pPr>
        <w:pStyle w:val="FootnoteText"/>
        <w:jc w:val="both"/>
        <w:rPr>
          <w:rFonts w:ascii="Times New Roman" w:hAnsi="Times New Roman" w:cs="Times New Roman"/>
          <w:sz w:val="16"/>
          <w:szCs w:val="16"/>
          <w:lang w:val="ro-MD"/>
        </w:rPr>
      </w:pPr>
      <w:r w:rsidRPr="00955569">
        <w:rPr>
          <w:rStyle w:val="FootnoteReference"/>
          <w:rFonts w:ascii="Times New Roman" w:hAnsi="Times New Roman" w:cs="Times New Roman"/>
          <w:sz w:val="16"/>
          <w:szCs w:val="16"/>
          <w:lang w:val="ro-MD"/>
        </w:rPr>
        <w:footnoteRef/>
      </w:r>
      <w:r w:rsidRPr="00955569">
        <w:rPr>
          <w:rFonts w:ascii="Times New Roman" w:hAnsi="Times New Roman" w:cs="Times New Roman"/>
          <w:sz w:val="16"/>
          <w:szCs w:val="16"/>
          <w:lang w:val="ro-MD"/>
        </w:rPr>
        <w:t xml:space="preserve"> Anexa nr. 1 la HG nr.377/2018, versiunea în vigoare până</w:t>
      </w:r>
      <w:r>
        <w:rPr>
          <w:rFonts w:ascii="Times New Roman" w:hAnsi="Times New Roman" w:cs="Times New Roman"/>
          <w:sz w:val="16"/>
          <w:szCs w:val="16"/>
          <w:lang w:val="ro-MD"/>
        </w:rPr>
        <w:t xml:space="preserve"> la data de 22.08.2024.</w:t>
      </w:r>
    </w:p>
  </w:footnote>
  <w:footnote w:id="46">
    <w:p w14:paraId="255FDBD0" w14:textId="5175B127" w:rsidR="00CB1EF8" w:rsidRPr="00955569" w:rsidRDefault="00CB1EF8" w:rsidP="00B04DD4">
      <w:pPr>
        <w:pStyle w:val="FootnoteText"/>
        <w:jc w:val="both"/>
        <w:rPr>
          <w:rFonts w:ascii="Times New Roman" w:hAnsi="Times New Roman" w:cs="Times New Roman"/>
          <w:sz w:val="16"/>
          <w:szCs w:val="16"/>
          <w:lang w:val="ro-MD"/>
        </w:rPr>
      </w:pPr>
      <w:r w:rsidRPr="00955569">
        <w:rPr>
          <w:rStyle w:val="FootnoteReference"/>
          <w:rFonts w:ascii="Times New Roman" w:hAnsi="Times New Roman" w:cs="Times New Roman"/>
          <w:sz w:val="16"/>
          <w:szCs w:val="16"/>
          <w:lang w:val="ro-MD"/>
        </w:rPr>
        <w:footnoteRef/>
      </w:r>
      <w:r w:rsidRPr="00955569">
        <w:rPr>
          <w:rFonts w:ascii="Times New Roman" w:hAnsi="Times New Roman" w:cs="Times New Roman"/>
          <w:sz w:val="16"/>
          <w:szCs w:val="16"/>
          <w:lang w:val="ro-MD"/>
        </w:rPr>
        <w:t xml:space="preserve"> H</w:t>
      </w:r>
      <w:r>
        <w:rPr>
          <w:rFonts w:ascii="Times New Roman" w:hAnsi="Times New Roman" w:cs="Times New Roman"/>
          <w:sz w:val="16"/>
          <w:szCs w:val="16"/>
          <w:lang w:val="ro-MD"/>
        </w:rPr>
        <w:t>otărârea Curții de Conturi</w:t>
      </w:r>
      <w:r w:rsidRPr="00955569">
        <w:rPr>
          <w:rFonts w:ascii="Times New Roman" w:hAnsi="Times New Roman" w:cs="Times New Roman"/>
          <w:sz w:val="16"/>
          <w:szCs w:val="16"/>
          <w:lang w:val="ro-MD"/>
        </w:rPr>
        <w:t xml:space="preserve"> nr.19 din 26.05.2023 cu privire la Raportul auditului financiar asupra Raportului Guvernului privind executarea</w:t>
      </w:r>
      <w:r>
        <w:rPr>
          <w:rFonts w:ascii="Times New Roman" w:hAnsi="Times New Roman" w:cs="Times New Roman"/>
          <w:sz w:val="16"/>
          <w:szCs w:val="16"/>
          <w:lang w:val="ro-MD"/>
        </w:rPr>
        <w:t xml:space="preserve"> bugetului de stat pe anul 2022.</w:t>
      </w:r>
    </w:p>
  </w:footnote>
  <w:footnote w:id="47">
    <w:p w14:paraId="698090BA" w14:textId="27A2C257" w:rsidR="00CB1EF8" w:rsidRPr="00955569" w:rsidRDefault="00CB1EF8" w:rsidP="00B04DD4">
      <w:pPr>
        <w:pStyle w:val="FootnoteText"/>
        <w:jc w:val="both"/>
        <w:rPr>
          <w:rFonts w:ascii="Times New Roman" w:hAnsi="Times New Roman" w:cs="Times New Roman"/>
          <w:sz w:val="16"/>
          <w:szCs w:val="16"/>
          <w:lang w:val="ro-MD"/>
        </w:rPr>
      </w:pPr>
      <w:r w:rsidRPr="00955569">
        <w:rPr>
          <w:rStyle w:val="FootnoteReference"/>
          <w:rFonts w:ascii="Times New Roman" w:hAnsi="Times New Roman" w:cs="Times New Roman"/>
          <w:sz w:val="16"/>
          <w:szCs w:val="16"/>
          <w:lang w:val="ro-MD"/>
        </w:rPr>
        <w:footnoteRef/>
      </w:r>
      <w:r w:rsidRPr="00955569">
        <w:rPr>
          <w:rFonts w:ascii="Times New Roman" w:hAnsi="Times New Roman" w:cs="Times New Roman"/>
          <w:sz w:val="16"/>
          <w:szCs w:val="16"/>
          <w:lang w:val="ro-MD"/>
        </w:rPr>
        <w:t xml:space="preserve"> HG nr.888 din 22.11.2023 cu privire la modificarea și abrogarea unor hotărâri ale Guvernului (reorganizarea structurală a unor </w:t>
      </w:r>
      <w:r>
        <w:rPr>
          <w:rFonts w:ascii="Times New Roman" w:hAnsi="Times New Roman" w:cs="Times New Roman"/>
          <w:sz w:val="16"/>
          <w:szCs w:val="16"/>
          <w:lang w:val="ro-MD"/>
        </w:rPr>
        <w:t>autorități publice).</w:t>
      </w:r>
    </w:p>
  </w:footnote>
  <w:footnote w:id="48">
    <w:p w14:paraId="043D2B6E" w14:textId="3E390C3B" w:rsidR="00CB1EF8" w:rsidRPr="00955569" w:rsidRDefault="00CB1EF8" w:rsidP="00B04DD4">
      <w:pPr>
        <w:pStyle w:val="FootnoteText"/>
        <w:jc w:val="both"/>
        <w:rPr>
          <w:rFonts w:ascii="Times New Roman" w:hAnsi="Times New Roman" w:cs="Times New Roman"/>
          <w:sz w:val="16"/>
          <w:szCs w:val="16"/>
          <w:lang w:val="ro-MD"/>
        </w:rPr>
      </w:pPr>
      <w:r w:rsidRPr="00955569">
        <w:rPr>
          <w:rStyle w:val="FootnoteReference"/>
          <w:rFonts w:ascii="Times New Roman" w:hAnsi="Times New Roman" w:cs="Times New Roman"/>
          <w:sz w:val="16"/>
          <w:szCs w:val="16"/>
          <w:lang w:val="ro-MD"/>
        </w:rPr>
        <w:footnoteRef/>
      </w:r>
      <w:r w:rsidRPr="00955569">
        <w:rPr>
          <w:rFonts w:ascii="Times New Roman" w:hAnsi="Times New Roman" w:cs="Times New Roman"/>
          <w:sz w:val="16"/>
          <w:szCs w:val="16"/>
          <w:lang w:val="ro-MD"/>
        </w:rPr>
        <w:t xml:space="preserve"> HG nr.534 din 24.07.2024 pentru Modificarea HG nr.377/2018 cu privire la</w:t>
      </w:r>
      <w:r>
        <w:rPr>
          <w:rFonts w:ascii="Times New Roman" w:hAnsi="Times New Roman" w:cs="Times New Roman"/>
          <w:sz w:val="16"/>
          <w:szCs w:val="16"/>
          <w:lang w:val="ro-MD"/>
        </w:rPr>
        <w:t xml:space="preserve"> reglementarea cadrului instituț</w:t>
      </w:r>
      <w:r w:rsidRPr="00955569">
        <w:rPr>
          <w:rFonts w:ascii="Times New Roman" w:hAnsi="Times New Roman" w:cs="Times New Roman"/>
          <w:sz w:val="16"/>
          <w:szCs w:val="16"/>
          <w:lang w:val="ro-MD"/>
        </w:rPr>
        <w:t>ional și mecanismului de coordonare și m</w:t>
      </w:r>
      <w:r>
        <w:rPr>
          <w:rFonts w:ascii="Times New Roman" w:hAnsi="Times New Roman" w:cs="Times New Roman"/>
          <w:sz w:val="16"/>
          <w:szCs w:val="16"/>
          <w:lang w:val="ro-MD"/>
        </w:rPr>
        <w:t>anagement al asistenței externe.</w:t>
      </w:r>
      <w:r w:rsidRPr="00955569">
        <w:rPr>
          <w:rFonts w:ascii="Times New Roman" w:hAnsi="Times New Roman" w:cs="Times New Roman"/>
          <w:sz w:val="16"/>
          <w:szCs w:val="16"/>
          <w:lang w:val="ro-MD"/>
        </w:rPr>
        <w:t xml:space="preserve"> </w:t>
      </w:r>
    </w:p>
  </w:footnote>
  <w:footnote w:id="49">
    <w:p w14:paraId="39B7D81A" w14:textId="149228DA" w:rsidR="00CB1EF8" w:rsidRPr="004D3C1F" w:rsidRDefault="00CB1EF8" w:rsidP="00B04DD4">
      <w:pPr>
        <w:pStyle w:val="FootnoteText"/>
        <w:jc w:val="both"/>
        <w:rPr>
          <w:rFonts w:ascii="Times New Roman" w:hAnsi="Times New Roman" w:cs="Times New Roman"/>
          <w:lang w:val="ro-MD"/>
        </w:rPr>
      </w:pPr>
      <w:r w:rsidRPr="004D3C1F">
        <w:rPr>
          <w:rStyle w:val="FootnoteReference"/>
          <w:rFonts w:ascii="Times New Roman" w:hAnsi="Times New Roman" w:cs="Times New Roman"/>
          <w:sz w:val="16"/>
          <w:szCs w:val="16"/>
          <w:lang w:val="ro-MD"/>
        </w:rPr>
        <w:footnoteRef/>
      </w:r>
      <w:r w:rsidRPr="004D3C1F">
        <w:rPr>
          <w:rFonts w:ascii="Times New Roman" w:hAnsi="Times New Roman" w:cs="Times New Roman"/>
          <w:sz w:val="16"/>
          <w:szCs w:val="16"/>
          <w:lang w:val="ro-MD"/>
        </w:rPr>
        <w:t xml:space="preserve"> Pct. 46 din Regulamentul cu privire la cadrul instituțional și mecanismul de coordonare și management al asistenței externe (Anexa nr. 1 la HG nr.377/2</w:t>
      </w:r>
      <w:r>
        <w:rPr>
          <w:rFonts w:ascii="Times New Roman" w:hAnsi="Times New Roman" w:cs="Times New Roman"/>
          <w:sz w:val="16"/>
          <w:szCs w:val="16"/>
          <w:lang w:val="ro-MD"/>
        </w:rPr>
        <w:t>018, în redacția din 22.08.2024).</w:t>
      </w:r>
    </w:p>
  </w:footnote>
  <w:footnote w:id="50">
    <w:p w14:paraId="5CEA3FAD" w14:textId="77777777" w:rsidR="00CB1EF8" w:rsidRPr="00ED3511" w:rsidRDefault="00CB1EF8" w:rsidP="00ED3511">
      <w:pPr>
        <w:pStyle w:val="FootnoteText"/>
        <w:jc w:val="both"/>
        <w:rPr>
          <w:rFonts w:ascii="Times New Roman" w:hAnsi="Times New Roman" w:cs="Times New Roman"/>
          <w:sz w:val="16"/>
          <w:szCs w:val="16"/>
          <w:lang w:val="ro-MD"/>
        </w:rPr>
      </w:pPr>
      <w:r w:rsidRPr="00ED3511">
        <w:rPr>
          <w:rStyle w:val="FootnoteReference"/>
          <w:rFonts w:ascii="Times New Roman" w:hAnsi="Times New Roman" w:cs="Times New Roman"/>
          <w:sz w:val="16"/>
          <w:szCs w:val="16"/>
          <w:lang w:val="ro-MD"/>
        </w:rPr>
        <w:footnoteRef/>
      </w:r>
      <w:r w:rsidRPr="00ED3511">
        <w:rPr>
          <w:rFonts w:ascii="Times New Roman" w:hAnsi="Times New Roman" w:cs="Times New Roman"/>
          <w:sz w:val="16"/>
          <w:szCs w:val="16"/>
          <w:lang w:val="ro-MD"/>
        </w:rPr>
        <w:t xml:space="preserve"> Legea nr.12 din 13.07.2017 pentru ratificarea Acordului-cadru dintre Republica Moldova și Fondul Global pentru Combaterea HIV/SIDA, Tuberculozei și Malariei.</w:t>
      </w:r>
    </w:p>
  </w:footnote>
  <w:footnote w:id="51">
    <w:p w14:paraId="2199AEB6" w14:textId="6EA5042E" w:rsidR="00CB1EF8" w:rsidRPr="00CE50BF" w:rsidRDefault="00CB1EF8" w:rsidP="00995456">
      <w:pPr>
        <w:pStyle w:val="FootnoteText"/>
        <w:jc w:val="both"/>
        <w:rPr>
          <w:rFonts w:ascii="Times New Roman" w:hAnsi="Times New Roman" w:cs="Times New Roman"/>
          <w:sz w:val="16"/>
          <w:szCs w:val="16"/>
          <w:lang w:val="ro-MD"/>
        </w:rPr>
      </w:pPr>
      <w:r w:rsidRPr="00CE50BF">
        <w:rPr>
          <w:rStyle w:val="FootnoteReference"/>
          <w:rFonts w:ascii="Times New Roman" w:hAnsi="Times New Roman" w:cs="Times New Roman"/>
          <w:sz w:val="16"/>
          <w:szCs w:val="16"/>
          <w:lang w:val="ro-MD"/>
        </w:rPr>
        <w:footnoteRef/>
      </w:r>
      <w:r w:rsidRPr="00CE50BF">
        <w:rPr>
          <w:rFonts w:ascii="Times New Roman" w:hAnsi="Times New Roman" w:cs="Times New Roman"/>
          <w:sz w:val="16"/>
          <w:szCs w:val="16"/>
          <w:lang w:val="ro-MD"/>
        </w:rPr>
        <w:t xml:space="preserve"> Art.4 din Legea privind controlul financiar public intern nr.229/2010 stabilește că principiile bunei guvernări</w:t>
      </w:r>
      <w:r>
        <w:rPr>
          <w:rFonts w:ascii="Times New Roman" w:hAnsi="Times New Roman" w:cs="Times New Roman"/>
          <w:sz w:val="16"/>
          <w:szCs w:val="16"/>
          <w:lang w:val="ro-MD"/>
        </w:rPr>
        <w:t xml:space="preserve"> </w:t>
      </w:r>
      <w:r w:rsidRPr="00CE50BF">
        <w:rPr>
          <w:rFonts w:ascii="Times New Roman" w:hAnsi="Times New Roman" w:cs="Times New Roman"/>
          <w:sz w:val="16"/>
          <w:szCs w:val="16"/>
          <w:lang w:val="ro-MD"/>
        </w:rPr>
        <w:t xml:space="preserve">în activitatea entităţii publice sunt: transparență și răspundere, economicitate, eficiență și eficacitate, legalitate și echitate, etică și integritate. </w:t>
      </w:r>
    </w:p>
  </w:footnote>
  <w:footnote w:id="52">
    <w:p w14:paraId="1FD02DF2" w14:textId="29A171D5" w:rsidR="00CB1EF8" w:rsidRPr="00173FBC" w:rsidRDefault="00CB1EF8" w:rsidP="00E07F98">
      <w:pPr>
        <w:pStyle w:val="FootnoteText"/>
        <w:jc w:val="both"/>
        <w:rPr>
          <w:rFonts w:ascii="Times New Roman" w:hAnsi="Times New Roman" w:cs="Times New Roman"/>
          <w:sz w:val="16"/>
          <w:szCs w:val="16"/>
          <w:lang w:val="ro-MD"/>
        </w:rPr>
      </w:pPr>
      <w:r w:rsidRPr="00173FBC">
        <w:rPr>
          <w:rStyle w:val="FootnoteReference"/>
          <w:rFonts w:ascii="Times New Roman" w:hAnsi="Times New Roman" w:cs="Times New Roman"/>
          <w:sz w:val="16"/>
          <w:szCs w:val="16"/>
          <w:lang w:val="ro-MD"/>
        </w:rPr>
        <w:footnoteRef/>
      </w:r>
      <w:r w:rsidRPr="00173FBC">
        <w:rPr>
          <w:rFonts w:ascii="Times New Roman" w:hAnsi="Times New Roman" w:cs="Times New Roman"/>
          <w:sz w:val="16"/>
          <w:szCs w:val="16"/>
          <w:lang w:val="ro-MD"/>
        </w:rPr>
        <w:t xml:space="preserve"> Legea nr.131 din 03.07.2015</w:t>
      </w:r>
      <w:r>
        <w:rPr>
          <w:rFonts w:ascii="Times New Roman" w:hAnsi="Times New Roman" w:cs="Times New Roman"/>
          <w:sz w:val="16"/>
          <w:szCs w:val="16"/>
          <w:lang w:val="ro-MD"/>
        </w:rPr>
        <w:t xml:space="preserve"> </w:t>
      </w:r>
      <w:r w:rsidRPr="00173FBC">
        <w:rPr>
          <w:rFonts w:ascii="Times New Roman" w:hAnsi="Times New Roman" w:cs="Times New Roman"/>
          <w:sz w:val="16"/>
          <w:szCs w:val="16"/>
          <w:lang w:val="ro-MD"/>
        </w:rPr>
        <w:t>privind achizițiile publice; HG nr.1419 din 28.12.2016 pentru aprobarea Regulamentului cu privire la modul de planificare a contractelor de achiziții publice; HG nr. 870 din 14.12.2022 pentru aprobarea Regulamentului cu privire la achizițiile publice de valoare mică; HG nr.638 din 26.08.2020 pentru aprobarea Regulamentului privind</w:t>
      </w:r>
      <w:r>
        <w:rPr>
          <w:rFonts w:ascii="Times New Roman" w:hAnsi="Times New Roman" w:cs="Times New Roman"/>
          <w:sz w:val="16"/>
          <w:szCs w:val="16"/>
          <w:lang w:val="ro-MD"/>
        </w:rPr>
        <w:t xml:space="preserve"> achizițiile publice de lucrări.</w:t>
      </w:r>
      <w:r w:rsidRPr="00173FBC">
        <w:rPr>
          <w:rFonts w:ascii="Times New Roman" w:hAnsi="Times New Roman" w:cs="Times New Roman"/>
          <w:sz w:val="16"/>
          <w:szCs w:val="16"/>
          <w:lang w:val="ro-MD"/>
        </w:rPr>
        <w:t xml:space="preserve"> </w:t>
      </w:r>
    </w:p>
  </w:footnote>
  <w:footnote w:id="53">
    <w:p w14:paraId="107F6EBD" w14:textId="12495EE5" w:rsidR="00CB1EF8" w:rsidRPr="00173FBC" w:rsidRDefault="00CB1EF8" w:rsidP="004614E2">
      <w:pPr>
        <w:pStyle w:val="FootnoteText"/>
        <w:jc w:val="both"/>
        <w:rPr>
          <w:rFonts w:ascii="Times New Roman" w:hAnsi="Times New Roman" w:cs="Times New Roman"/>
          <w:sz w:val="16"/>
          <w:szCs w:val="16"/>
          <w:lang w:val="ro-MD"/>
        </w:rPr>
      </w:pPr>
      <w:r w:rsidRPr="00173FBC">
        <w:rPr>
          <w:rStyle w:val="FootnoteReference"/>
          <w:rFonts w:ascii="Times New Roman" w:hAnsi="Times New Roman" w:cs="Times New Roman"/>
          <w:sz w:val="16"/>
          <w:szCs w:val="16"/>
          <w:lang w:val="ro-MD"/>
        </w:rPr>
        <w:footnoteRef/>
      </w:r>
      <w:r w:rsidRPr="00173FBC">
        <w:rPr>
          <w:rFonts w:ascii="Times New Roman" w:hAnsi="Times New Roman" w:cs="Times New Roman"/>
          <w:sz w:val="16"/>
          <w:szCs w:val="16"/>
          <w:lang w:val="ro-MD"/>
        </w:rPr>
        <w:t xml:space="preserve"> Legea nr.131 din 03.07.2015</w:t>
      </w:r>
      <w:r>
        <w:rPr>
          <w:rFonts w:ascii="Times New Roman" w:hAnsi="Times New Roman" w:cs="Times New Roman"/>
          <w:sz w:val="16"/>
          <w:szCs w:val="16"/>
          <w:lang w:val="ro-MD"/>
        </w:rPr>
        <w:t xml:space="preserve"> </w:t>
      </w:r>
      <w:r w:rsidRPr="00173FBC">
        <w:rPr>
          <w:rFonts w:ascii="Times New Roman" w:hAnsi="Times New Roman" w:cs="Times New Roman"/>
          <w:sz w:val="16"/>
          <w:szCs w:val="16"/>
          <w:lang w:val="ro-MD"/>
        </w:rPr>
        <w:t>privind achizițiile publice</w:t>
      </w:r>
      <w:r>
        <w:rPr>
          <w:rFonts w:ascii="Times New Roman" w:hAnsi="Times New Roman" w:cs="Times New Roman"/>
          <w:sz w:val="16"/>
          <w:szCs w:val="16"/>
          <w:lang w:val="ro-MD"/>
        </w:rPr>
        <w:t>.</w:t>
      </w:r>
    </w:p>
  </w:footnote>
  <w:footnote w:id="54">
    <w:p w14:paraId="03C809A1" w14:textId="77777777" w:rsidR="00CB1EF8" w:rsidRPr="00173FBC" w:rsidRDefault="00CB1EF8">
      <w:pPr>
        <w:pStyle w:val="FootnoteText"/>
        <w:rPr>
          <w:rFonts w:ascii="Times New Roman" w:hAnsi="Times New Roman" w:cs="Times New Roman"/>
          <w:sz w:val="16"/>
          <w:szCs w:val="16"/>
          <w:lang w:val="ro-MD"/>
        </w:rPr>
      </w:pPr>
      <w:r w:rsidRPr="00173FBC">
        <w:rPr>
          <w:rStyle w:val="FootnoteReference"/>
          <w:rFonts w:ascii="Times New Roman" w:hAnsi="Times New Roman" w:cs="Times New Roman"/>
          <w:sz w:val="16"/>
          <w:szCs w:val="16"/>
        </w:rPr>
        <w:footnoteRef/>
      </w:r>
      <w:r w:rsidRPr="00173FBC">
        <w:rPr>
          <w:rFonts w:ascii="Times New Roman" w:hAnsi="Times New Roman" w:cs="Times New Roman"/>
          <w:sz w:val="16"/>
          <w:szCs w:val="16"/>
          <w:lang w:val="ro-MD"/>
        </w:rPr>
        <w:t xml:space="preserve"> </w:t>
      </w:r>
      <w:hyperlink r:id="rId3" w:history="1">
        <w:r w:rsidRPr="00173FBC">
          <w:rPr>
            <w:rStyle w:val="Hyperlink"/>
            <w:rFonts w:ascii="Times New Roman" w:hAnsi="Times New Roman" w:cs="Times New Roman"/>
            <w:sz w:val="16"/>
            <w:szCs w:val="16"/>
            <w:shd w:val="clear" w:color="auto" w:fill="FFFFFF"/>
            <w:lang w:val="ro-MD"/>
          </w:rPr>
          <w:t>https://eur-lex.europa.eu/legal-content/EN-RO/TXT/?from=EN&amp;uri=CELEX%3A02014L0024-20180101</w:t>
        </w:r>
      </w:hyperlink>
      <w:r w:rsidRPr="00173FBC">
        <w:rPr>
          <w:rFonts w:ascii="Times New Roman" w:hAnsi="Times New Roman" w:cs="Times New Roman"/>
          <w:color w:val="212121"/>
          <w:sz w:val="16"/>
          <w:szCs w:val="16"/>
          <w:shd w:val="clear" w:color="auto" w:fill="FFFFFF"/>
          <w:lang w:val="ro-MD"/>
        </w:rPr>
        <w:t xml:space="preserve"> </w:t>
      </w:r>
    </w:p>
  </w:footnote>
  <w:footnote w:id="55">
    <w:p w14:paraId="1AD569C6" w14:textId="54A95548" w:rsidR="00CB1EF8" w:rsidRPr="00B863AC" w:rsidRDefault="00CB1EF8">
      <w:pPr>
        <w:pStyle w:val="FootnoteText"/>
        <w:rPr>
          <w:rFonts w:ascii="Times New Roman" w:hAnsi="Times New Roman" w:cs="Times New Roman"/>
          <w:sz w:val="16"/>
          <w:szCs w:val="16"/>
          <w:lang w:val="ro-MD"/>
        </w:rPr>
      </w:pPr>
      <w:r w:rsidRPr="00B863AC">
        <w:rPr>
          <w:rStyle w:val="FootnoteReference"/>
          <w:rFonts w:ascii="Times New Roman" w:hAnsi="Times New Roman" w:cs="Times New Roman"/>
          <w:sz w:val="16"/>
          <w:szCs w:val="16"/>
          <w:lang w:val="ro-MD"/>
        </w:rPr>
        <w:footnoteRef/>
      </w:r>
      <w:r w:rsidRPr="00B863AC">
        <w:rPr>
          <w:rFonts w:ascii="Times New Roman" w:hAnsi="Times New Roman" w:cs="Times New Roman"/>
          <w:sz w:val="16"/>
          <w:szCs w:val="16"/>
          <w:lang w:val="ro-MD"/>
        </w:rPr>
        <w:t xml:space="preserve"> HCC nr.14 din 11.04.2024 cu privire la Raportul de audit al performanței privind utilizarea mijloacelor financiare în cadrul proiectului „Livada Moldovei”.</w:t>
      </w:r>
    </w:p>
  </w:footnote>
  <w:footnote w:id="56">
    <w:p w14:paraId="5B498BD5" w14:textId="6674EAC7" w:rsidR="00CB1EF8" w:rsidRPr="00B863AC" w:rsidRDefault="00CB1EF8" w:rsidP="00B863AC">
      <w:pPr>
        <w:pStyle w:val="FootnoteText"/>
        <w:jc w:val="both"/>
        <w:rPr>
          <w:rFonts w:ascii="Times New Roman" w:hAnsi="Times New Roman" w:cs="Times New Roman"/>
          <w:sz w:val="16"/>
          <w:szCs w:val="16"/>
          <w:lang w:val="ro-MD"/>
        </w:rPr>
      </w:pPr>
      <w:r w:rsidRPr="00B863AC">
        <w:rPr>
          <w:rStyle w:val="FootnoteReference"/>
          <w:rFonts w:ascii="Times New Roman" w:hAnsi="Times New Roman" w:cs="Times New Roman"/>
          <w:sz w:val="16"/>
          <w:szCs w:val="16"/>
          <w:lang w:val="ro-MD"/>
        </w:rPr>
        <w:footnoteRef/>
      </w:r>
      <w:r w:rsidRPr="00B863AC">
        <w:rPr>
          <w:rFonts w:ascii="Times New Roman" w:hAnsi="Times New Roman" w:cs="Times New Roman"/>
          <w:sz w:val="16"/>
          <w:szCs w:val="16"/>
          <w:lang w:val="ro-MD"/>
        </w:rPr>
        <w:t xml:space="preserve"> HCC nr.68 din 13.12.2021 cu privire la Raportul auditului performanței atinse în cadrul proiectelor finanțate din fondurile externe gestionate prin intermediul Unității Consolidate pentru Implementarea Programelor Fondului Internațional pentru Dezvoltare Agricolă. </w:t>
      </w:r>
    </w:p>
  </w:footnote>
  <w:footnote w:id="57">
    <w:p w14:paraId="2C26051C" w14:textId="77777777" w:rsidR="00CB1EF8" w:rsidRPr="0061733D" w:rsidRDefault="00CB1EF8" w:rsidP="004614E2">
      <w:pPr>
        <w:pStyle w:val="FootnoteText"/>
        <w:jc w:val="both"/>
        <w:rPr>
          <w:rFonts w:ascii="Times New Roman" w:hAnsi="Times New Roman" w:cs="Times New Roman"/>
          <w:sz w:val="16"/>
          <w:szCs w:val="16"/>
          <w:lang w:val="ro-MD"/>
        </w:rPr>
      </w:pPr>
      <w:r w:rsidRPr="00B863AC">
        <w:rPr>
          <w:rStyle w:val="FootnoteReference"/>
          <w:rFonts w:ascii="Times New Roman" w:hAnsi="Times New Roman" w:cs="Times New Roman"/>
          <w:sz w:val="16"/>
          <w:szCs w:val="16"/>
          <w:lang w:val="ro-MD"/>
        </w:rPr>
        <w:footnoteRef/>
      </w:r>
      <w:r w:rsidRPr="00B863AC">
        <w:rPr>
          <w:rFonts w:ascii="Times New Roman" w:hAnsi="Times New Roman" w:cs="Times New Roman"/>
          <w:sz w:val="16"/>
          <w:szCs w:val="16"/>
          <w:lang w:val="ro-MD"/>
        </w:rPr>
        <w:t xml:space="preserve"> Legea finanțelor publice și responsabilității bugetar-fiscale nr.181 din 25.07.2014. </w:t>
      </w:r>
    </w:p>
  </w:footnote>
  <w:footnote w:id="58">
    <w:p w14:paraId="499ECFAC" w14:textId="77777777" w:rsidR="00CB1EF8" w:rsidRPr="000C6647" w:rsidRDefault="00CB1EF8" w:rsidP="00A7798D">
      <w:pPr>
        <w:pStyle w:val="FootnoteText"/>
        <w:jc w:val="both"/>
        <w:rPr>
          <w:rFonts w:ascii="Times New Roman" w:hAnsi="Times New Roman" w:cs="Times New Roman"/>
          <w:sz w:val="16"/>
          <w:szCs w:val="16"/>
          <w:lang w:val="ro-MD"/>
        </w:rPr>
      </w:pPr>
      <w:r w:rsidRPr="000C6647">
        <w:rPr>
          <w:rStyle w:val="FootnoteReference"/>
          <w:rFonts w:ascii="Times New Roman" w:hAnsi="Times New Roman" w:cs="Times New Roman"/>
          <w:sz w:val="16"/>
          <w:szCs w:val="16"/>
          <w:lang w:val="ro-MD"/>
        </w:rPr>
        <w:footnoteRef/>
      </w:r>
      <w:r w:rsidRPr="000C6647">
        <w:rPr>
          <w:rFonts w:ascii="Times New Roman" w:hAnsi="Times New Roman" w:cs="Times New Roman"/>
          <w:sz w:val="16"/>
          <w:szCs w:val="16"/>
          <w:lang w:val="ro-MD"/>
        </w:rPr>
        <w:t xml:space="preserve"> Marja pentru rezerve în mărime de 0,3 puncte procentuale din dobânda încasată de către OGPAE de la Instituțiile Financiare Participante se acumulează la contul special al Fondului de rezervă al OGPAE începând cu ianuarie 2017. La situația din 31.12.2023, Fondul de rezervă al OGPAE a constituit 92.278,52 mii lei, dintre care 8.843,51 mii lei reprezintă dobânda capitalizată din depozitele bancare. </w:t>
      </w:r>
    </w:p>
  </w:footnote>
  <w:footnote w:id="59">
    <w:p w14:paraId="2F5FE8B7" w14:textId="60CCF728" w:rsidR="00CB1EF8" w:rsidRPr="000C6647" w:rsidRDefault="00CB1EF8">
      <w:pPr>
        <w:pStyle w:val="FootnoteText"/>
        <w:rPr>
          <w:rFonts w:ascii="Times New Roman" w:hAnsi="Times New Roman" w:cs="Times New Roman"/>
          <w:sz w:val="16"/>
          <w:szCs w:val="16"/>
          <w:lang w:val="ro-MD"/>
        </w:rPr>
      </w:pPr>
      <w:r w:rsidRPr="000C6647">
        <w:rPr>
          <w:rStyle w:val="FootnoteReference"/>
          <w:rFonts w:ascii="Times New Roman" w:hAnsi="Times New Roman" w:cs="Times New Roman"/>
          <w:sz w:val="16"/>
          <w:szCs w:val="16"/>
          <w:lang w:val="ro-MD"/>
        </w:rPr>
        <w:footnoteRef/>
      </w:r>
      <w:r w:rsidRPr="000C6647">
        <w:rPr>
          <w:rFonts w:ascii="Times New Roman" w:hAnsi="Times New Roman" w:cs="Times New Roman"/>
          <w:sz w:val="16"/>
          <w:szCs w:val="16"/>
          <w:lang w:val="ro-MD"/>
        </w:rPr>
        <w:t xml:space="preserve"> UCIMPA și UCIMPRSVV.</w:t>
      </w:r>
    </w:p>
  </w:footnote>
  <w:footnote w:id="60">
    <w:p w14:paraId="326817BF" w14:textId="42BCD1FE" w:rsidR="00CB1EF8" w:rsidRPr="000C6647" w:rsidRDefault="00CB1EF8" w:rsidP="00E73917">
      <w:pPr>
        <w:pStyle w:val="FootnoteText"/>
        <w:jc w:val="both"/>
        <w:rPr>
          <w:rFonts w:ascii="Times New Roman" w:hAnsi="Times New Roman" w:cs="Times New Roman"/>
          <w:sz w:val="16"/>
          <w:szCs w:val="16"/>
          <w:lang w:val="ro-MD"/>
        </w:rPr>
      </w:pPr>
      <w:r w:rsidRPr="000C6647">
        <w:rPr>
          <w:rStyle w:val="FootnoteReference"/>
          <w:rFonts w:ascii="Times New Roman" w:hAnsi="Times New Roman" w:cs="Times New Roman"/>
          <w:sz w:val="16"/>
          <w:szCs w:val="16"/>
          <w:lang w:val="ro-MD"/>
        </w:rPr>
        <w:footnoteRef/>
      </w:r>
      <w:r w:rsidRPr="000C6647">
        <w:rPr>
          <w:rFonts w:ascii="Times New Roman" w:hAnsi="Times New Roman" w:cs="Times New Roman"/>
          <w:sz w:val="16"/>
          <w:szCs w:val="16"/>
          <w:lang w:val="ro-MD"/>
        </w:rPr>
        <w:t xml:space="preserve"> UCIMP DS, UCIPE și ONIPM.</w:t>
      </w:r>
    </w:p>
  </w:footnote>
  <w:footnote w:id="61">
    <w:p w14:paraId="6C91E4C7" w14:textId="5CD1081D" w:rsidR="00CB1EF8" w:rsidRPr="001711D1" w:rsidRDefault="00CB1EF8" w:rsidP="00E73917">
      <w:pPr>
        <w:pStyle w:val="FootnoteText"/>
        <w:jc w:val="both"/>
        <w:rPr>
          <w:rFonts w:ascii="Times New Roman" w:hAnsi="Times New Roman" w:cs="Times New Roman"/>
          <w:sz w:val="16"/>
          <w:szCs w:val="16"/>
          <w:lang w:val="ro-MD"/>
        </w:rPr>
      </w:pPr>
      <w:r w:rsidRPr="001711D1">
        <w:rPr>
          <w:rStyle w:val="FootnoteReference"/>
          <w:rFonts w:ascii="Times New Roman" w:hAnsi="Times New Roman" w:cs="Times New Roman"/>
          <w:sz w:val="16"/>
          <w:szCs w:val="16"/>
          <w:lang w:val="ro-MD"/>
        </w:rPr>
        <w:footnoteRef/>
      </w:r>
      <w:r w:rsidRPr="001711D1">
        <w:rPr>
          <w:rFonts w:ascii="Times New Roman" w:hAnsi="Times New Roman" w:cs="Times New Roman"/>
          <w:sz w:val="16"/>
          <w:szCs w:val="16"/>
          <w:lang w:val="ro-MD"/>
        </w:rPr>
        <w:t xml:space="preserve"> Legea salarizării nr.847 din 14.02.2002 și </w:t>
      </w:r>
      <w:r>
        <w:rPr>
          <w:rFonts w:ascii="Times New Roman" w:hAnsi="Times New Roman" w:cs="Times New Roman"/>
          <w:sz w:val="16"/>
          <w:szCs w:val="16"/>
          <w:lang w:val="ro-MD"/>
        </w:rPr>
        <w:t>a</w:t>
      </w:r>
      <w:r w:rsidRPr="001711D1">
        <w:rPr>
          <w:rFonts w:ascii="Times New Roman" w:hAnsi="Times New Roman" w:cs="Times New Roman"/>
          <w:sz w:val="16"/>
          <w:szCs w:val="16"/>
          <w:lang w:val="ro-MD"/>
        </w:rPr>
        <w:t xml:space="preserve">rt.135 din Codul muncii al Republicii Moldova nr.154 din 28.03.2003. </w:t>
      </w:r>
    </w:p>
  </w:footnote>
  <w:footnote w:id="62">
    <w:p w14:paraId="3402AAB1" w14:textId="77777777" w:rsidR="00CB1EF8" w:rsidRPr="001711D1" w:rsidRDefault="00CB1EF8" w:rsidP="00E73917">
      <w:pPr>
        <w:pStyle w:val="FootnoteText"/>
        <w:jc w:val="both"/>
        <w:rPr>
          <w:rFonts w:ascii="Times New Roman" w:hAnsi="Times New Roman" w:cs="Times New Roman"/>
          <w:sz w:val="16"/>
          <w:szCs w:val="16"/>
          <w:lang w:val="ro-MD"/>
        </w:rPr>
      </w:pPr>
      <w:r w:rsidRPr="001711D1">
        <w:rPr>
          <w:rStyle w:val="FootnoteReference"/>
          <w:rFonts w:ascii="Times New Roman" w:hAnsi="Times New Roman" w:cs="Times New Roman"/>
          <w:sz w:val="16"/>
          <w:szCs w:val="16"/>
          <w:lang w:val="ro-MD"/>
        </w:rPr>
        <w:footnoteRef/>
      </w:r>
      <w:r w:rsidRPr="001711D1">
        <w:rPr>
          <w:rFonts w:ascii="Times New Roman" w:hAnsi="Times New Roman" w:cs="Times New Roman"/>
          <w:sz w:val="16"/>
          <w:szCs w:val="16"/>
          <w:lang w:val="ro-MD"/>
        </w:rPr>
        <w:t xml:space="preserve"> </w:t>
      </w:r>
      <w:r w:rsidRPr="001711D1">
        <w:rPr>
          <w:rFonts w:ascii="Times New Roman" w:hAnsi="Times New Roman" w:cs="Times New Roman"/>
          <w:color w:val="000000" w:themeColor="text1"/>
          <w:sz w:val="16"/>
          <w:szCs w:val="16"/>
          <w:lang w:val="ro-MD"/>
        </w:rPr>
        <w:t>ADMA, ONDRL, UCIMPDS, UCIMPRSVV, UCIP IFAD.</w:t>
      </w:r>
      <w:r w:rsidRPr="001711D1">
        <w:rPr>
          <w:rFonts w:ascii="Times New Roman" w:hAnsi="Times New Roman" w:cs="Times New Roman"/>
          <w:sz w:val="16"/>
          <w:szCs w:val="16"/>
          <w:lang w:val="ro-MD"/>
        </w:rPr>
        <w:t xml:space="preserve"> </w:t>
      </w:r>
    </w:p>
  </w:footnote>
  <w:footnote w:id="63">
    <w:p w14:paraId="655B20A4" w14:textId="7542B53F" w:rsidR="00CB1EF8" w:rsidRPr="001711D1" w:rsidRDefault="00CB1EF8" w:rsidP="00E73917">
      <w:pPr>
        <w:pStyle w:val="FootnoteText"/>
        <w:jc w:val="both"/>
        <w:rPr>
          <w:rFonts w:ascii="Times New Roman" w:hAnsi="Times New Roman" w:cs="Times New Roman"/>
          <w:sz w:val="16"/>
          <w:szCs w:val="16"/>
          <w:lang w:val="ro-MD"/>
        </w:rPr>
      </w:pPr>
      <w:r w:rsidRPr="001711D1">
        <w:rPr>
          <w:rStyle w:val="FootnoteReference"/>
          <w:rFonts w:ascii="Times New Roman" w:hAnsi="Times New Roman" w:cs="Times New Roman"/>
          <w:sz w:val="16"/>
          <w:szCs w:val="16"/>
          <w:lang w:val="ro-MD"/>
        </w:rPr>
        <w:footnoteRef/>
      </w:r>
      <w:r w:rsidRPr="001711D1">
        <w:rPr>
          <w:rFonts w:ascii="Times New Roman" w:hAnsi="Times New Roman" w:cs="Times New Roman"/>
          <w:sz w:val="16"/>
          <w:szCs w:val="16"/>
          <w:lang w:val="ro-MD"/>
        </w:rPr>
        <w:t xml:space="preserve"> </w:t>
      </w:r>
      <w:r w:rsidRPr="001711D1">
        <w:rPr>
          <w:rFonts w:ascii="Times New Roman" w:hAnsi="Times New Roman" w:cs="Times New Roman"/>
          <w:color w:val="000000" w:themeColor="text1"/>
          <w:sz w:val="16"/>
          <w:szCs w:val="16"/>
          <w:lang w:val="ro-MD"/>
        </w:rPr>
        <w:t>ONIPM, UCIPE, UIPCLPSV II, UCIMPA</w:t>
      </w:r>
      <w:r>
        <w:rPr>
          <w:rFonts w:ascii="Times New Roman" w:hAnsi="Times New Roman" w:cs="Times New Roman"/>
          <w:color w:val="000000" w:themeColor="text1"/>
          <w:sz w:val="16"/>
          <w:szCs w:val="16"/>
          <w:lang w:val="ro-MD"/>
        </w:rPr>
        <w:t>.</w:t>
      </w:r>
    </w:p>
  </w:footnote>
  <w:footnote w:id="64">
    <w:p w14:paraId="74001355" w14:textId="77777777" w:rsidR="00CB1EF8" w:rsidRPr="001711D1" w:rsidRDefault="00CB1EF8" w:rsidP="00E73917">
      <w:pPr>
        <w:pStyle w:val="FootnoteText"/>
        <w:jc w:val="both"/>
        <w:rPr>
          <w:rFonts w:ascii="Times New Roman" w:hAnsi="Times New Roman" w:cs="Times New Roman"/>
          <w:sz w:val="16"/>
          <w:szCs w:val="16"/>
          <w:lang w:val="ro-MD"/>
        </w:rPr>
      </w:pPr>
      <w:r w:rsidRPr="001711D1">
        <w:rPr>
          <w:rStyle w:val="FootnoteReference"/>
          <w:rFonts w:ascii="Times New Roman" w:hAnsi="Times New Roman" w:cs="Times New Roman"/>
          <w:sz w:val="16"/>
          <w:szCs w:val="16"/>
          <w:lang w:val="ro-MD"/>
        </w:rPr>
        <w:footnoteRef/>
      </w:r>
      <w:r w:rsidRPr="001711D1">
        <w:rPr>
          <w:rFonts w:ascii="Times New Roman" w:hAnsi="Times New Roman" w:cs="Times New Roman"/>
          <w:sz w:val="16"/>
          <w:szCs w:val="16"/>
          <w:lang w:val="ro-MD"/>
        </w:rPr>
        <w:t xml:space="preserve"> OGPAE, </w:t>
      </w:r>
      <w:r w:rsidRPr="001711D1">
        <w:rPr>
          <w:rFonts w:ascii="Times New Roman" w:hAnsi="Times New Roman" w:cs="Times New Roman"/>
          <w:color w:val="000000" w:themeColor="text1"/>
          <w:sz w:val="16"/>
          <w:szCs w:val="16"/>
          <w:lang w:val="ro-MD"/>
        </w:rPr>
        <w:t>UIPAC, UIPCPC.</w:t>
      </w:r>
    </w:p>
  </w:footnote>
  <w:footnote w:id="65">
    <w:p w14:paraId="41F2A954" w14:textId="77777777" w:rsidR="00CB1EF8" w:rsidRPr="00B179DA" w:rsidRDefault="00CB1EF8" w:rsidP="00902E3C">
      <w:pPr>
        <w:pStyle w:val="FootnoteText"/>
        <w:jc w:val="both"/>
        <w:rPr>
          <w:rFonts w:ascii="Times New Roman" w:hAnsi="Times New Roman" w:cs="Times New Roman"/>
          <w:sz w:val="16"/>
          <w:szCs w:val="16"/>
          <w:lang w:val="ro-MD"/>
        </w:rPr>
      </w:pPr>
      <w:r w:rsidRPr="00B179DA">
        <w:rPr>
          <w:rStyle w:val="FootnoteReference"/>
          <w:rFonts w:ascii="Times New Roman" w:hAnsi="Times New Roman" w:cs="Times New Roman"/>
          <w:sz w:val="16"/>
          <w:szCs w:val="16"/>
          <w:lang w:val="ro-MD"/>
        </w:rPr>
        <w:footnoteRef/>
      </w:r>
      <w:r w:rsidRPr="00B179DA">
        <w:rPr>
          <w:rFonts w:ascii="Times New Roman" w:hAnsi="Times New Roman" w:cs="Times New Roman"/>
          <w:sz w:val="16"/>
          <w:szCs w:val="16"/>
          <w:lang w:val="ro-MD"/>
        </w:rPr>
        <w:t xml:space="preserve"> HG nr.743 din 2002 cu privire la salarizarea angajaților din unitățile cu autonome financiară.</w:t>
      </w:r>
    </w:p>
  </w:footnote>
  <w:footnote w:id="66">
    <w:p w14:paraId="1556C253" w14:textId="77777777" w:rsidR="00CB1EF8" w:rsidRPr="00B179DA" w:rsidRDefault="00CB1EF8" w:rsidP="00902E3C">
      <w:pPr>
        <w:pStyle w:val="FootnoteText"/>
        <w:jc w:val="both"/>
        <w:rPr>
          <w:rFonts w:ascii="Times New Roman" w:hAnsi="Times New Roman" w:cs="Times New Roman"/>
          <w:sz w:val="16"/>
          <w:szCs w:val="16"/>
          <w:lang w:val="ro-MD"/>
        </w:rPr>
      </w:pPr>
      <w:r w:rsidRPr="00B179DA">
        <w:rPr>
          <w:rStyle w:val="FootnoteReference"/>
          <w:rFonts w:ascii="Times New Roman" w:hAnsi="Times New Roman" w:cs="Times New Roman"/>
          <w:sz w:val="16"/>
          <w:szCs w:val="16"/>
          <w:lang w:val="ro-MD"/>
        </w:rPr>
        <w:footnoteRef/>
      </w:r>
      <w:r w:rsidRPr="00B179DA">
        <w:rPr>
          <w:rFonts w:ascii="Times New Roman" w:hAnsi="Times New Roman" w:cs="Times New Roman"/>
          <w:sz w:val="16"/>
          <w:szCs w:val="16"/>
          <w:lang w:val="ro-MD"/>
        </w:rPr>
        <w:t xml:space="preserve"> Aprobat prin Hotărârea Consiliului de supraveghere al OGPAE din 01.09.2020.</w:t>
      </w:r>
    </w:p>
  </w:footnote>
  <w:footnote w:id="67">
    <w:p w14:paraId="3C69B694" w14:textId="77777777" w:rsidR="00CB1EF8" w:rsidRPr="00B179DA" w:rsidRDefault="00CB1EF8" w:rsidP="00902E3C">
      <w:pPr>
        <w:pStyle w:val="FootnoteText"/>
        <w:jc w:val="both"/>
        <w:rPr>
          <w:rFonts w:ascii="Times New Roman" w:hAnsi="Times New Roman" w:cs="Times New Roman"/>
          <w:sz w:val="16"/>
          <w:szCs w:val="16"/>
          <w:lang w:val="ro-MD"/>
        </w:rPr>
      </w:pPr>
      <w:r w:rsidRPr="00B179DA">
        <w:rPr>
          <w:rStyle w:val="FootnoteReference"/>
          <w:rFonts w:ascii="Times New Roman" w:hAnsi="Times New Roman" w:cs="Times New Roman"/>
          <w:sz w:val="16"/>
          <w:szCs w:val="16"/>
          <w:lang w:val="ro-MD"/>
        </w:rPr>
        <w:footnoteRef/>
      </w:r>
      <w:r w:rsidRPr="00B179DA">
        <w:rPr>
          <w:rFonts w:ascii="Times New Roman" w:hAnsi="Times New Roman" w:cs="Times New Roman"/>
          <w:sz w:val="16"/>
          <w:szCs w:val="16"/>
          <w:lang w:val="ro-MD"/>
        </w:rPr>
        <w:t xml:space="preserve"> Aprobat de către directorul OGPAE la 01.09.2020. </w:t>
      </w:r>
    </w:p>
  </w:footnote>
  <w:footnote w:id="68">
    <w:p w14:paraId="3E8E3018" w14:textId="77777777" w:rsidR="00CB1EF8" w:rsidRPr="00B179DA" w:rsidRDefault="00CB1EF8" w:rsidP="00902E3C">
      <w:pPr>
        <w:pStyle w:val="FootnoteText"/>
        <w:jc w:val="both"/>
        <w:rPr>
          <w:rFonts w:ascii="Times New Roman" w:hAnsi="Times New Roman" w:cs="Times New Roman"/>
          <w:sz w:val="16"/>
          <w:szCs w:val="16"/>
          <w:lang w:val="ro-MD"/>
        </w:rPr>
      </w:pPr>
      <w:r w:rsidRPr="00B179DA">
        <w:rPr>
          <w:rStyle w:val="FootnoteReference"/>
          <w:rFonts w:ascii="Times New Roman" w:hAnsi="Times New Roman" w:cs="Times New Roman"/>
          <w:sz w:val="16"/>
          <w:szCs w:val="16"/>
          <w:lang w:val="ro-MD"/>
        </w:rPr>
        <w:footnoteRef/>
      </w:r>
      <w:r w:rsidRPr="00B179DA">
        <w:rPr>
          <w:rFonts w:ascii="Times New Roman" w:hAnsi="Times New Roman" w:cs="Times New Roman"/>
          <w:sz w:val="16"/>
          <w:szCs w:val="16"/>
          <w:lang w:val="ro-MD"/>
        </w:rPr>
        <w:t xml:space="preserve"> Sporuri pentru eficiență economică – 238,61 mii lei; premii trimestriale – 126,44 mii lei, sporuri pentru eficiență managerială – 89,48 mii lei; sporuri pentru vechime în muncă – 59,65 mii lei, premii unice de sărbători – 20,71 mii lei. </w:t>
      </w:r>
    </w:p>
  </w:footnote>
  <w:footnote w:id="69">
    <w:p w14:paraId="6FD7EADF" w14:textId="77777777" w:rsidR="00CB1EF8" w:rsidRPr="00BC3341" w:rsidRDefault="00CB1EF8" w:rsidP="00902E3C">
      <w:pPr>
        <w:pStyle w:val="FootnoteText"/>
        <w:jc w:val="both"/>
        <w:rPr>
          <w:rFonts w:ascii="Times New Roman" w:hAnsi="Times New Roman" w:cs="Times New Roman"/>
          <w:sz w:val="16"/>
          <w:szCs w:val="16"/>
        </w:rPr>
      </w:pPr>
      <w:r w:rsidRPr="00B179DA">
        <w:rPr>
          <w:rStyle w:val="FootnoteReference"/>
          <w:rFonts w:ascii="Times New Roman" w:hAnsi="Times New Roman" w:cs="Times New Roman"/>
          <w:sz w:val="16"/>
          <w:szCs w:val="16"/>
          <w:lang w:val="ro-MD"/>
        </w:rPr>
        <w:footnoteRef/>
      </w:r>
      <w:r w:rsidRPr="00B179DA">
        <w:rPr>
          <w:rFonts w:ascii="Times New Roman" w:hAnsi="Times New Roman" w:cs="Times New Roman"/>
          <w:sz w:val="16"/>
          <w:szCs w:val="16"/>
          <w:lang w:val="ro-MD"/>
        </w:rPr>
        <w:t xml:space="preserve"> Sporuri pentru eficiență economică – 167,80 mii lei, sporuri pentru eficiență managerială – 100,68 mii lei, sporuri pentru vechime în muncă – 67,12 mii lei, ajutor material – 30,20 mii lei, premie anuală – 30,20 mii lei, premie trimestrială – 22,65 mii lei, premie unică de sărbători – 22,65 mii lei.</w:t>
      </w:r>
      <w:r>
        <w:rPr>
          <w:rFonts w:ascii="Times New Roman" w:hAnsi="Times New Roman" w:cs="Times New Roman"/>
          <w:sz w:val="16"/>
          <w:szCs w:val="16"/>
          <w:lang w:val="ro-MD"/>
        </w:rPr>
        <w:t xml:space="preserve"> </w:t>
      </w:r>
    </w:p>
  </w:footnote>
  <w:footnote w:id="70">
    <w:p w14:paraId="495A6B44" w14:textId="5CB0F35C" w:rsidR="00CB1EF8" w:rsidRPr="00160ED9" w:rsidRDefault="00CB1EF8" w:rsidP="00160ED9">
      <w:pPr>
        <w:pStyle w:val="FootnoteText"/>
        <w:jc w:val="both"/>
        <w:rPr>
          <w:rFonts w:ascii="Times New Roman" w:hAnsi="Times New Roman" w:cs="Times New Roman"/>
          <w:color w:val="FF0000"/>
          <w:sz w:val="16"/>
          <w:szCs w:val="16"/>
          <w:lang w:val="ro-MD"/>
        </w:rPr>
      </w:pPr>
      <w:r w:rsidRPr="00160ED9">
        <w:rPr>
          <w:rStyle w:val="FootnoteReference"/>
          <w:rFonts w:ascii="Times New Roman" w:hAnsi="Times New Roman" w:cs="Times New Roman"/>
          <w:sz w:val="16"/>
          <w:szCs w:val="16"/>
          <w:lang w:val="ro-MD"/>
        </w:rPr>
        <w:footnoteRef/>
      </w:r>
      <w:r w:rsidRPr="00160ED9">
        <w:rPr>
          <w:rFonts w:ascii="Times New Roman" w:hAnsi="Times New Roman" w:cs="Times New Roman"/>
          <w:sz w:val="16"/>
          <w:szCs w:val="16"/>
          <w:lang w:val="ro-MD"/>
        </w:rPr>
        <w:t xml:space="preserve"> Valoarea nu conține resursele financiare consumate de către UCIP IFAD și pentru implementarea proiectului „Managementul deșeurilor solide” implementat de către ONIPM (nu au prezentat informația echipei de audit).</w:t>
      </w:r>
    </w:p>
  </w:footnote>
  <w:footnote w:id="71">
    <w:p w14:paraId="18E31F00" w14:textId="77777777" w:rsidR="00CB1EF8" w:rsidRPr="000C0BCA" w:rsidRDefault="00CB1EF8" w:rsidP="00160ED9">
      <w:pPr>
        <w:pStyle w:val="FootnoteText"/>
        <w:jc w:val="both"/>
        <w:rPr>
          <w:rFonts w:ascii="Times New Roman" w:hAnsi="Times New Roman" w:cs="Times New Roman"/>
          <w:sz w:val="16"/>
          <w:szCs w:val="16"/>
          <w:lang w:val="ro-MD"/>
        </w:rPr>
      </w:pPr>
      <w:r w:rsidRPr="00160ED9">
        <w:rPr>
          <w:rStyle w:val="FootnoteReference"/>
          <w:rFonts w:ascii="Times New Roman" w:hAnsi="Times New Roman" w:cs="Times New Roman"/>
          <w:sz w:val="16"/>
          <w:szCs w:val="16"/>
          <w:lang w:val="ro-MD"/>
        </w:rPr>
        <w:footnoteRef/>
      </w:r>
      <w:r w:rsidRPr="00160ED9">
        <w:rPr>
          <w:rFonts w:ascii="Times New Roman" w:hAnsi="Times New Roman" w:cs="Times New Roman"/>
          <w:sz w:val="16"/>
          <w:szCs w:val="16"/>
          <w:lang w:val="ro-MD"/>
        </w:rPr>
        <w:t xml:space="preserve"> Din cele 36 de proiecte implementate, sunt proiecte inițiate în anul 2000, 2012, 2014 etc.</w:t>
      </w:r>
    </w:p>
  </w:footnote>
  <w:footnote w:id="72">
    <w:p w14:paraId="0C0C4C13" w14:textId="5EB4FE33" w:rsidR="00CB1EF8" w:rsidRPr="00652CB7" w:rsidRDefault="00CB1EF8" w:rsidP="00427F18">
      <w:pPr>
        <w:pStyle w:val="FootnoteText"/>
        <w:rPr>
          <w:rFonts w:ascii="Times New Roman" w:hAnsi="Times New Roman" w:cs="Times New Roman"/>
          <w:sz w:val="16"/>
          <w:szCs w:val="16"/>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w:t>
      </w:r>
      <w:r w:rsidRPr="000C0BCA">
        <w:rPr>
          <w:rFonts w:ascii="Times New Roman" w:eastAsia="Times New Roman" w:hAnsi="Times New Roman" w:cs="Times New Roman"/>
          <w:bCs/>
          <w:sz w:val="16"/>
          <w:szCs w:val="16"/>
          <w:lang w:val="ro-MD"/>
        </w:rPr>
        <w:t>UIPAC „MOP pentru Programul Îmbunătățirea Competitivității Exporturilor ÎMMM</w:t>
      </w:r>
      <w:r>
        <w:rPr>
          <w:rFonts w:ascii="Times New Roman" w:eastAsia="Times New Roman" w:hAnsi="Times New Roman" w:cs="Times New Roman"/>
          <w:bCs/>
          <w:sz w:val="16"/>
          <w:szCs w:val="16"/>
        </w:rPr>
        <w:t>”</w:t>
      </w:r>
    </w:p>
  </w:footnote>
  <w:footnote w:id="73">
    <w:p w14:paraId="0A4FDEA4" w14:textId="77777777" w:rsidR="00CB1EF8" w:rsidRPr="000C0BCA" w:rsidRDefault="00CB1EF8" w:rsidP="003A43B0">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Proiectele implementate de către echipa ONIMP.</w:t>
      </w:r>
    </w:p>
  </w:footnote>
  <w:footnote w:id="74">
    <w:p w14:paraId="351D00D6" w14:textId="1403AB04" w:rsidR="00CB1EF8" w:rsidRPr="000C0BCA" w:rsidRDefault="00CB1EF8" w:rsidP="003A43B0">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Proiectul Securitatea Aprovizionării cu Ap</w:t>
      </w:r>
      <w:r>
        <w:rPr>
          <w:rFonts w:ascii="Times New Roman" w:hAnsi="Times New Roman" w:cs="Times New Roman"/>
          <w:sz w:val="16"/>
          <w:szCs w:val="16"/>
          <w:lang w:val="ro-MD"/>
        </w:rPr>
        <w:t>ă</w:t>
      </w:r>
      <w:r w:rsidRPr="000C0BCA">
        <w:rPr>
          <w:rFonts w:ascii="Times New Roman" w:hAnsi="Times New Roman" w:cs="Times New Roman"/>
          <w:sz w:val="16"/>
          <w:szCs w:val="16"/>
          <w:lang w:val="ro-MD"/>
        </w:rPr>
        <w:t xml:space="preserve"> și Sanitație </w:t>
      </w:r>
      <w:r>
        <w:rPr>
          <w:rFonts w:ascii="Times New Roman" w:hAnsi="Times New Roman" w:cs="Times New Roman"/>
          <w:sz w:val="16"/>
          <w:szCs w:val="16"/>
          <w:lang w:val="ro-MD"/>
        </w:rPr>
        <w:t>î</w:t>
      </w:r>
      <w:r w:rsidRPr="000C0BCA">
        <w:rPr>
          <w:rFonts w:ascii="Times New Roman" w:hAnsi="Times New Roman" w:cs="Times New Roman"/>
          <w:sz w:val="16"/>
          <w:szCs w:val="16"/>
          <w:lang w:val="ro-MD"/>
        </w:rPr>
        <w:t>n Moldova.</w:t>
      </w:r>
    </w:p>
  </w:footnote>
  <w:footnote w:id="75">
    <w:p w14:paraId="34B5E19E" w14:textId="77777777" w:rsidR="00CB1EF8" w:rsidRPr="000C0BCA" w:rsidRDefault="00CB1EF8" w:rsidP="003A43B0">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Proiectul de construcție a Penitenciarului din Chișinău.</w:t>
      </w:r>
    </w:p>
  </w:footnote>
  <w:footnote w:id="76">
    <w:p w14:paraId="409D3600" w14:textId="77777777" w:rsidR="00CB1EF8" w:rsidRPr="005D5E5B" w:rsidRDefault="00CB1EF8" w:rsidP="003A43B0">
      <w:pPr>
        <w:pStyle w:val="FootnoteText"/>
        <w:jc w:val="both"/>
        <w:rPr>
          <w:rFonts w:ascii="Times New Roman" w:hAnsi="Times New Roman" w:cs="Times New Roman"/>
          <w:sz w:val="16"/>
          <w:szCs w:val="16"/>
          <w:lang w:val="ro-MD"/>
        </w:rPr>
      </w:pPr>
      <w:r w:rsidRPr="005D5E5B">
        <w:rPr>
          <w:rStyle w:val="FootnoteReference"/>
          <w:rFonts w:ascii="Times New Roman" w:hAnsi="Times New Roman" w:cs="Times New Roman"/>
          <w:sz w:val="16"/>
          <w:szCs w:val="16"/>
          <w:lang w:val="ro-MD"/>
        </w:rPr>
        <w:footnoteRef/>
      </w:r>
      <w:r w:rsidRPr="005D5E5B">
        <w:rPr>
          <w:rFonts w:ascii="Times New Roman" w:hAnsi="Times New Roman" w:cs="Times New Roman"/>
          <w:sz w:val="16"/>
          <w:szCs w:val="16"/>
          <w:lang w:val="ro-MD"/>
        </w:rPr>
        <w:t xml:space="preserve"> Neîntrunirea organului de supraveghere al IP UIPCLPSV II; </w:t>
      </w:r>
    </w:p>
  </w:footnote>
  <w:footnote w:id="77">
    <w:p w14:paraId="6A2D8267" w14:textId="60E8DF89" w:rsidR="00CB1EF8" w:rsidRPr="005D5E5B" w:rsidRDefault="00CB1EF8" w:rsidP="003A43B0">
      <w:pPr>
        <w:pStyle w:val="FootnoteText"/>
        <w:jc w:val="both"/>
        <w:rPr>
          <w:rFonts w:ascii="Times New Roman" w:hAnsi="Times New Roman" w:cs="Times New Roman"/>
          <w:sz w:val="16"/>
          <w:szCs w:val="16"/>
          <w:lang w:val="ro-MD"/>
        </w:rPr>
      </w:pPr>
      <w:r w:rsidRPr="005D5E5B">
        <w:rPr>
          <w:rStyle w:val="FootnoteReference"/>
          <w:rFonts w:ascii="Times New Roman" w:hAnsi="Times New Roman" w:cs="Times New Roman"/>
          <w:sz w:val="16"/>
          <w:szCs w:val="16"/>
          <w:lang w:val="ro-MD"/>
        </w:rPr>
        <w:footnoteRef/>
      </w:r>
      <w:r w:rsidRPr="005D5E5B">
        <w:rPr>
          <w:rFonts w:ascii="Times New Roman" w:hAnsi="Times New Roman" w:cs="Times New Roman"/>
          <w:sz w:val="16"/>
          <w:szCs w:val="16"/>
          <w:lang w:val="ro-MD"/>
        </w:rPr>
        <w:t xml:space="preserve"> Întrunirea doar într-o singură ședință</w:t>
      </w:r>
      <w:r>
        <w:rPr>
          <w:rFonts w:ascii="Times New Roman" w:hAnsi="Times New Roman" w:cs="Times New Roman"/>
          <w:sz w:val="16"/>
          <w:szCs w:val="16"/>
          <w:lang w:val="ro-MD"/>
        </w:rPr>
        <w:t xml:space="preserve"> pe parcursul a </w:t>
      </w:r>
      <w:r w:rsidRPr="005D5E5B">
        <w:rPr>
          <w:rFonts w:ascii="Times New Roman" w:hAnsi="Times New Roman" w:cs="Times New Roman"/>
          <w:sz w:val="16"/>
          <w:szCs w:val="16"/>
          <w:lang w:val="ro-MD"/>
        </w:rPr>
        <w:t>doi ani -  IP UCIPE, IP UCIMP DS</w:t>
      </w:r>
      <w:r>
        <w:rPr>
          <w:rFonts w:ascii="Times New Roman" w:hAnsi="Times New Roman" w:cs="Times New Roman"/>
          <w:sz w:val="16"/>
          <w:szCs w:val="16"/>
          <w:lang w:val="ro-MD"/>
        </w:rPr>
        <w:t>.</w:t>
      </w:r>
    </w:p>
  </w:footnote>
  <w:footnote w:id="78">
    <w:p w14:paraId="6EF0928A" w14:textId="7F172C9C" w:rsidR="00CB1EF8" w:rsidRPr="00234B82" w:rsidRDefault="00CB1EF8" w:rsidP="003A43B0">
      <w:pPr>
        <w:pStyle w:val="FootnoteText"/>
        <w:jc w:val="both"/>
        <w:rPr>
          <w:rFonts w:ascii="Times New Roman" w:hAnsi="Times New Roman" w:cs="Times New Roman"/>
          <w:sz w:val="16"/>
          <w:szCs w:val="16"/>
        </w:rPr>
      </w:pPr>
      <w:r w:rsidRPr="00234B82">
        <w:rPr>
          <w:rStyle w:val="FootnoteReference"/>
          <w:rFonts w:ascii="Times New Roman" w:hAnsi="Times New Roman" w:cs="Times New Roman"/>
          <w:sz w:val="16"/>
          <w:szCs w:val="16"/>
          <w:lang w:val="ro-MD"/>
        </w:rPr>
        <w:footnoteRef/>
      </w:r>
      <w:r w:rsidRPr="00234B82">
        <w:rPr>
          <w:rFonts w:ascii="Times New Roman" w:hAnsi="Times New Roman" w:cs="Times New Roman"/>
          <w:sz w:val="16"/>
          <w:szCs w:val="16"/>
          <w:lang w:val="ro-MD"/>
        </w:rPr>
        <w:t xml:space="preserve"> Manualul operațional pentru a asigura implementarea grantului și a creditului acordate de către Banca Mondială și Guvernul Olandez în cadrul Proiectului „Restructurare a sistemului de sănătate”. </w:t>
      </w:r>
      <w:r>
        <w:rPr>
          <w:rFonts w:ascii="Times New Roman" w:hAnsi="Times New Roman" w:cs="Times New Roman"/>
          <w:sz w:val="16"/>
          <w:szCs w:val="16"/>
          <w:lang w:val="ro-MD"/>
        </w:rPr>
        <w:t>Î</w:t>
      </w:r>
      <w:r w:rsidRPr="00234B82">
        <w:rPr>
          <w:rFonts w:ascii="Times New Roman" w:hAnsi="Times New Roman" w:cs="Times New Roman"/>
          <w:sz w:val="16"/>
          <w:szCs w:val="16"/>
          <w:lang w:val="ro-MD"/>
        </w:rPr>
        <w:t>n versiune actualizată a fost aprobat în septembrie 2024. Până în această dată a fost actual manualul operațional al proiectului din anul 2007.</w:t>
      </w:r>
    </w:p>
  </w:footnote>
  <w:footnote w:id="79">
    <w:p w14:paraId="666C9637" w14:textId="253BD2BF" w:rsidR="00CB1EF8" w:rsidRPr="00234B82" w:rsidRDefault="00CB1EF8" w:rsidP="00234B82">
      <w:pPr>
        <w:pStyle w:val="FootnoteText"/>
        <w:jc w:val="both"/>
      </w:pPr>
      <w:r w:rsidRPr="00234B82">
        <w:rPr>
          <w:rStyle w:val="FootnoteReference"/>
          <w:rFonts w:ascii="Times New Roman" w:hAnsi="Times New Roman" w:cs="Times New Roman"/>
          <w:sz w:val="16"/>
          <w:szCs w:val="16"/>
        </w:rPr>
        <w:footnoteRef/>
      </w:r>
      <w:r w:rsidRPr="00234B82">
        <w:rPr>
          <w:rFonts w:ascii="Times New Roman" w:hAnsi="Times New Roman" w:cs="Times New Roman"/>
          <w:sz w:val="16"/>
          <w:szCs w:val="16"/>
          <w:lang w:val="ro-MD"/>
        </w:rPr>
        <w:t xml:space="preserve"> Programe naționale de profilaxie și combatere a infecției HIV/SIDA și infecțiilor cu transmitere sexuală (2001-2025), programe naționale de control al tuberculozei (2001-2025).</w:t>
      </w:r>
      <w:r>
        <w:t xml:space="preserve"> </w:t>
      </w:r>
    </w:p>
  </w:footnote>
  <w:footnote w:id="80">
    <w:p w14:paraId="7DC571F7" w14:textId="2CB48EC6" w:rsidR="00CB1EF8" w:rsidRPr="009730B1" w:rsidRDefault="00CB1EF8" w:rsidP="000C0BCA">
      <w:pPr>
        <w:pStyle w:val="FootnoteText"/>
        <w:rPr>
          <w:rFonts w:ascii="Times New Roman" w:hAnsi="Times New Roman" w:cs="Times New Roman"/>
          <w:sz w:val="16"/>
          <w:szCs w:val="16"/>
          <w:lang w:val="ro-MD"/>
        </w:rPr>
      </w:pPr>
      <w:r w:rsidRPr="009730B1">
        <w:rPr>
          <w:rStyle w:val="FootnoteReference"/>
          <w:rFonts w:ascii="Times New Roman" w:hAnsi="Times New Roman" w:cs="Times New Roman"/>
          <w:sz w:val="16"/>
          <w:szCs w:val="16"/>
          <w:lang w:val="ro-MD"/>
        </w:rPr>
        <w:footnoteRef/>
      </w:r>
      <w:r w:rsidRPr="009730B1">
        <w:rPr>
          <w:rFonts w:ascii="Times New Roman" w:hAnsi="Times New Roman" w:cs="Times New Roman"/>
          <w:sz w:val="16"/>
          <w:szCs w:val="16"/>
          <w:lang w:val="ro-MD"/>
        </w:rPr>
        <w:t xml:space="preserve"> Proiectul de construcție a locuințelor pentru păturile socialmente vulnerabile II</w:t>
      </w:r>
      <w:r>
        <w:rPr>
          <w:rFonts w:ascii="Times New Roman" w:hAnsi="Times New Roman" w:cs="Times New Roman"/>
          <w:sz w:val="16"/>
          <w:szCs w:val="16"/>
          <w:lang w:val="ro-MD"/>
        </w:rPr>
        <w:t>.</w:t>
      </w:r>
    </w:p>
  </w:footnote>
  <w:footnote w:id="81">
    <w:p w14:paraId="1AB20DB7" w14:textId="57F48315" w:rsidR="00CB1EF8" w:rsidRPr="00B7559D" w:rsidRDefault="00CB1EF8" w:rsidP="000C0BCA">
      <w:pPr>
        <w:pStyle w:val="FootnoteText"/>
        <w:rPr>
          <w:lang w:val="ro-MD"/>
        </w:rPr>
      </w:pPr>
      <w:r w:rsidRPr="009730B1">
        <w:rPr>
          <w:rStyle w:val="FootnoteReference"/>
          <w:rFonts w:ascii="Times New Roman" w:hAnsi="Times New Roman" w:cs="Times New Roman"/>
          <w:sz w:val="16"/>
          <w:szCs w:val="16"/>
          <w:lang w:val="ro-MD"/>
        </w:rPr>
        <w:footnoteRef/>
      </w:r>
      <w:r w:rsidRPr="009730B1">
        <w:rPr>
          <w:rFonts w:ascii="Times New Roman" w:hAnsi="Times New Roman" w:cs="Times New Roman"/>
          <w:sz w:val="16"/>
          <w:szCs w:val="16"/>
          <w:lang w:val="ro-MD"/>
        </w:rPr>
        <w:t xml:space="preserve"> Ordinul Ministrului </w:t>
      </w:r>
      <w:r>
        <w:rPr>
          <w:rFonts w:ascii="Times New Roman" w:hAnsi="Times New Roman" w:cs="Times New Roman"/>
          <w:sz w:val="16"/>
          <w:szCs w:val="16"/>
          <w:lang w:val="ro-MD"/>
        </w:rPr>
        <w:t>D</w:t>
      </w:r>
      <w:r w:rsidRPr="009730B1">
        <w:rPr>
          <w:rFonts w:ascii="Times New Roman" w:hAnsi="Times New Roman" w:cs="Times New Roman"/>
          <w:sz w:val="16"/>
          <w:szCs w:val="16"/>
          <w:lang w:val="ro-MD"/>
        </w:rPr>
        <w:t xml:space="preserve">ezvoltării </w:t>
      </w:r>
      <w:r>
        <w:rPr>
          <w:rFonts w:ascii="Times New Roman" w:hAnsi="Times New Roman" w:cs="Times New Roman"/>
          <w:sz w:val="16"/>
          <w:szCs w:val="16"/>
          <w:lang w:val="ro-MD"/>
        </w:rPr>
        <w:t>R</w:t>
      </w:r>
      <w:r w:rsidRPr="009730B1">
        <w:rPr>
          <w:rFonts w:ascii="Times New Roman" w:hAnsi="Times New Roman" w:cs="Times New Roman"/>
          <w:sz w:val="16"/>
          <w:szCs w:val="16"/>
          <w:lang w:val="ro-MD"/>
        </w:rPr>
        <w:t xml:space="preserve">egionale și </w:t>
      </w:r>
      <w:r>
        <w:rPr>
          <w:rFonts w:ascii="Times New Roman" w:hAnsi="Times New Roman" w:cs="Times New Roman"/>
          <w:sz w:val="16"/>
          <w:szCs w:val="16"/>
          <w:lang w:val="ro-MD"/>
        </w:rPr>
        <w:t>C</w:t>
      </w:r>
      <w:r w:rsidRPr="009730B1">
        <w:rPr>
          <w:rFonts w:ascii="Times New Roman" w:hAnsi="Times New Roman" w:cs="Times New Roman"/>
          <w:sz w:val="16"/>
          <w:szCs w:val="16"/>
          <w:lang w:val="ro-MD"/>
        </w:rPr>
        <w:t>onstrucțiilor nr. 75 din 14.05.2014</w:t>
      </w:r>
      <w:r>
        <w:rPr>
          <w:rFonts w:ascii="Times New Roman" w:hAnsi="Times New Roman" w:cs="Times New Roman"/>
          <w:sz w:val="16"/>
          <w:szCs w:val="16"/>
          <w:lang w:val="ro-MD"/>
        </w:rPr>
        <w:t>.</w:t>
      </w:r>
    </w:p>
  </w:footnote>
  <w:footnote w:id="82">
    <w:p w14:paraId="0CE84BB5" w14:textId="77777777" w:rsidR="00CB1EF8" w:rsidRPr="000C0BCA" w:rsidRDefault="00CB1EF8" w:rsidP="00D344CB">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rPr>
        <w:footnoteRef/>
      </w:r>
      <w:r w:rsidRPr="000C0BCA">
        <w:rPr>
          <w:rFonts w:ascii="Times New Roman" w:hAnsi="Times New Roman" w:cs="Times New Roman"/>
          <w:sz w:val="16"/>
          <w:szCs w:val="16"/>
          <w:lang w:val="ro-MD"/>
        </w:rPr>
        <w:t xml:space="preserve"> Delegarea implementării unor obiective de către ONG-uri, antrenarea directă a medicilor specialiști în identificarea potențialilor beneficiari de ajutor specializat, campanii de oferire a materialelor protectoare.</w:t>
      </w:r>
    </w:p>
  </w:footnote>
  <w:footnote w:id="83">
    <w:p w14:paraId="46AD0F3C" w14:textId="2319BE6D" w:rsidR="00CB1EF8" w:rsidRPr="000C0BCA" w:rsidRDefault="00CB1EF8" w:rsidP="00D344CB">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w:t>
      </w:r>
      <w:r>
        <w:rPr>
          <w:rFonts w:ascii="Times New Roman" w:hAnsi="Times New Roman" w:cs="Times New Roman"/>
          <w:sz w:val="16"/>
          <w:szCs w:val="16"/>
          <w:lang w:val="ro-MD"/>
        </w:rPr>
        <w:t>HG</w:t>
      </w:r>
      <w:r w:rsidRPr="000C0BCA">
        <w:rPr>
          <w:rFonts w:ascii="Times New Roman" w:hAnsi="Times New Roman" w:cs="Times New Roman"/>
          <w:sz w:val="16"/>
          <w:szCs w:val="16"/>
          <w:lang w:val="ro-MD"/>
        </w:rPr>
        <w:t xml:space="preserve"> nr. 56 din 17.02.2023 cu p</w:t>
      </w:r>
      <w:r>
        <w:rPr>
          <w:rFonts w:ascii="Times New Roman" w:hAnsi="Times New Roman" w:cs="Times New Roman"/>
          <w:sz w:val="16"/>
          <w:szCs w:val="16"/>
          <w:lang w:val="ro-MD"/>
        </w:rPr>
        <w:t>rivire la aprobarea Strategiei n</w:t>
      </w:r>
      <w:r w:rsidRPr="000C0BCA">
        <w:rPr>
          <w:rFonts w:ascii="Times New Roman" w:hAnsi="Times New Roman" w:cs="Times New Roman"/>
          <w:sz w:val="16"/>
          <w:szCs w:val="16"/>
          <w:lang w:val="ro-MD"/>
        </w:rPr>
        <w:t>aționale de dezvoltare agricolă și rurală pentru anii 2023-2030</w:t>
      </w:r>
      <w:r>
        <w:rPr>
          <w:rFonts w:ascii="Times New Roman" w:hAnsi="Times New Roman" w:cs="Times New Roman"/>
          <w:sz w:val="16"/>
          <w:szCs w:val="16"/>
          <w:lang w:val="ro-MD"/>
        </w:rPr>
        <w:t>.</w:t>
      </w:r>
    </w:p>
  </w:footnote>
  <w:footnote w:id="84">
    <w:p w14:paraId="22217336" w14:textId="7CCC2D41" w:rsidR="00CB1EF8" w:rsidRPr="000C0BCA" w:rsidRDefault="00CB1EF8" w:rsidP="000C0BCA">
      <w:pPr>
        <w:pStyle w:val="FootnoteText"/>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Criteriile de evaluare a dezvoltării asistenței, definite de către </w:t>
      </w:r>
      <w:r>
        <w:rPr>
          <w:rFonts w:ascii="Times New Roman" w:hAnsi="Times New Roman" w:cs="Times New Roman"/>
          <w:sz w:val="16"/>
          <w:szCs w:val="16"/>
          <w:lang w:val="ro-MD"/>
        </w:rPr>
        <w:t>Organizația pentru Cooperare și Dezvoltare Economică.</w:t>
      </w:r>
    </w:p>
  </w:footnote>
  <w:footnote w:id="85">
    <w:p w14:paraId="784D93F7" w14:textId="047BD3CE" w:rsidR="00CB1EF8" w:rsidRPr="000C0BCA" w:rsidRDefault="00CB1EF8" w:rsidP="000C0BCA">
      <w:pPr>
        <w:pStyle w:val="FootnoteText"/>
        <w:rPr>
          <w:rFonts w:ascii="Times New Roman" w:hAnsi="Times New Roman" w:cs="Times New Roman"/>
          <w:sz w:val="16"/>
          <w:szCs w:val="16"/>
          <w:lang w:val="fr-FR"/>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Ghidul Grupului Băncii Mondiale, 2023</w:t>
      </w:r>
      <w:r>
        <w:rPr>
          <w:rFonts w:ascii="Times New Roman" w:hAnsi="Times New Roman" w:cs="Times New Roman"/>
          <w:sz w:val="16"/>
          <w:szCs w:val="16"/>
          <w:lang w:val="ro-MD"/>
        </w:rPr>
        <w:t>.</w:t>
      </w:r>
    </w:p>
  </w:footnote>
  <w:footnote w:id="86">
    <w:p w14:paraId="3BC4D80F" w14:textId="77777777" w:rsidR="00CB1EF8" w:rsidRPr="000C0BCA" w:rsidRDefault="00CB1EF8" w:rsidP="000C0BCA">
      <w:pPr>
        <w:pStyle w:val="FootnoteText"/>
        <w:jc w:val="both"/>
        <w:rPr>
          <w:rFonts w:ascii="Times New Roman" w:hAnsi="Times New Roman" w:cs="Times New Roman"/>
          <w:sz w:val="16"/>
          <w:szCs w:val="16"/>
          <w:lang w:val="ro-MD"/>
        </w:rPr>
      </w:pPr>
      <w:r w:rsidRPr="000C0BCA">
        <w:rPr>
          <w:rStyle w:val="FootnoteReference"/>
          <w:rFonts w:ascii="Times New Roman" w:hAnsi="Times New Roman" w:cs="Times New Roman"/>
          <w:sz w:val="16"/>
          <w:szCs w:val="16"/>
          <w:lang w:val="ro-MD"/>
        </w:rPr>
        <w:footnoteRef/>
      </w:r>
      <w:r w:rsidRPr="000C0BCA">
        <w:rPr>
          <w:rFonts w:ascii="Times New Roman" w:hAnsi="Times New Roman" w:cs="Times New Roman"/>
          <w:sz w:val="16"/>
          <w:szCs w:val="16"/>
          <w:lang w:val="ro-MD"/>
        </w:rPr>
        <w:t xml:space="preserve"> HCC nr.2 din 24.01.2020 „Cu privire la Cadrul Declarațiilor Profesionale ale INTOSAI”; HCC nr. 4 din 24.02.2023 „Cu privire la aprobarea spre testare a Manualului auditului performanței (în redacție nouă)”.</w:t>
      </w:r>
    </w:p>
  </w:footnote>
  <w:footnote w:id="87">
    <w:p w14:paraId="2C1F761C" w14:textId="5212F2CD" w:rsidR="00CB1EF8" w:rsidRPr="00CB1EF8" w:rsidRDefault="00CB1EF8">
      <w:pPr>
        <w:pStyle w:val="FootnoteText"/>
        <w:rPr>
          <w:rFonts w:ascii="Times New Roman" w:hAnsi="Times New Roman" w:cs="Times New Roman"/>
          <w:sz w:val="16"/>
          <w:szCs w:val="16"/>
          <w:lang w:val="ro-MD"/>
        </w:rPr>
      </w:pPr>
      <w:r w:rsidRPr="00CB1EF8">
        <w:rPr>
          <w:rStyle w:val="FootnoteReference"/>
          <w:rFonts w:ascii="Times New Roman" w:hAnsi="Times New Roman" w:cs="Times New Roman"/>
          <w:sz w:val="16"/>
          <w:szCs w:val="16"/>
          <w:lang w:val="ro-MD"/>
        </w:rPr>
        <w:footnoteRef/>
      </w:r>
      <w:r w:rsidRPr="00CB1EF8">
        <w:rPr>
          <w:rFonts w:ascii="Times New Roman" w:hAnsi="Times New Roman" w:cs="Times New Roman"/>
          <w:sz w:val="16"/>
          <w:szCs w:val="16"/>
          <w:lang w:val="ro-MD"/>
        </w:rPr>
        <w:t xml:space="preserve"> Inclusiv avansurile atrase pentru anul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7B9"/>
    <w:multiLevelType w:val="hybridMultilevel"/>
    <w:tmpl w:val="F91A044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F320B3"/>
    <w:multiLevelType w:val="hybridMultilevel"/>
    <w:tmpl w:val="7766E5A0"/>
    <w:lvl w:ilvl="0" w:tplc="DCC885CE">
      <w:start w:val="1"/>
      <w:numFmt w:val="bullet"/>
      <w:lvlText w:val=""/>
      <w:lvlJc w:val="left"/>
      <w:pPr>
        <w:tabs>
          <w:tab w:val="num" w:pos="720"/>
        </w:tabs>
        <w:ind w:left="720" w:hanging="360"/>
      </w:pPr>
      <w:rPr>
        <w:rFonts w:ascii="Wingdings" w:hAnsi="Wingdings" w:hint="default"/>
      </w:rPr>
    </w:lvl>
    <w:lvl w:ilvl="1" w:tplc="C3181380">
      <w:start w:val="1"/>
      <w:numFmt w:val="bullet"/>
      <w:lvlText w:val=""/>
      <w:lvlJc w:val="left"/>
      <w:pPr>
        <w:tabs>
          <w:tab w:val="num" w:pos="1440"/>
        </w:tabs>
        <w:ind w:left="1440" w:hanging="360"/>
      </w:pPr>
      <w:rPr>
        <w:rFonts w:ascii="Wingdings" w:hAnsi="Wingdings" w:hint="default"/>
      </w:rPr>
    </w:lvl>
    <w:lvl w:ilvl="2" w:tplc="688C5FA2">
      <w:start w:val="1"/>
      <w:numFmt w:val="bullet"/>
      <w:lvlText w:val=""/>
      <w:lvlJc w:val="left"/>
      <w:pPr>
        <w:tabs>
          <w:tab w:val="num" w:pos="2160"/>
        </w:tabs>
        <w:ind w:left="2160" w:hanging="360"/>
      </w:pPr>
      <w:rPr>
        <w:rFonts w:ascii="Wingdings" w:hAnsi="Wingdings" w:hint="default"/>
      </w:rPr>
    </w:lvl>
    <w:lvl w:ilvl="3" w:tplc="5F1E76A4">
      <w:start w:val="1"/>
      <w:numFmt w:val="bullet"/>
      <w:lvlText w:val=""/>
      <w:lvlJc w:val="left"/>
      <w:pPr>
        <w:tabs>
          <w:tab w:val="num" w:pos="2880"/>
        </w:tabs>
        <w:ind w:left="2880" w:hanging="360"/>
      </w:pPr>
      <w:rPr>
        <w:rFonts w:ascii="Wingdings" w:hAnsi="Wingdings" w:hint="default"/>
      </w:rPr>
    </w:lvl>
    <w:lvl w:ilvl="4" w:tplc="0F9C261E">
      <w:start w:val="1"/>
      <w:numFmt w:val="bullet"/>
      <w:lvlText w:val=""/>
      <w:lvlJc w:val="left"/>
      <w:pPr>
        <w:tabs>
          <w:tab w:val="num" w:pos="3600"/>
        </w:tabs>
        <w:ind w:left="3600" w:hanging="360"/>
      </w:pPr>
      <w:rPr>
        <w:rFonts w:ascii="Wingdings" w:hAnsi="Wingdings" w:hint="default"/>
      </w:rPr>
    </w:lvl>
    <w:lvl w:ilvl="5" w:tplc="9ABEF11C">
      <w:start w:val="1"/>
      <w:numFmt w:val="bullet"/>
      <w:lvlText w:val=""/>
      <w:lvlJc w:val="left"/>
      <w:pPr>
        <w:tabs>
          <w:tab w:val="num" w:pos="4320"/>
        </w:tabs>
        <w:ind w:left="4320" w:hanging="360"/>
      </w:pPr>
      <w:rPr>
        <w:rFonts w:ascii="Wingdings" w:hAnsi="Wingdings" w:hint="default"/>
      </w:rPr>
    </w:lvl>
    <w:lvl w:ilvl="6" w:tplc="6966E814">
      <w:start w:val="1"/>
      <w:numFmt w:val="bullet"/>
      <w:lvlText w:val=""/>
      <w:lvlJc w:val="left"/>
      <w:pPr>
        <w:tabs>
          <w:tab w:val="num" w:pos="5040"/>
        </w:tabs>
        <w:ind w:left="5040" w:hanging="360"/>
      </w:pPr>
      <w:rPr>
        <w:rFonts w:ascii="Wingdings" w:hAnsi="Wingdings" w:hint="default"/>
      </w:rPr>
    </w:lvl>
    <w:lvl w:ilvl="7" w:tplc="FB3CC11C">
      <w:start w:val="1"/>
      <w:numFmt w:val="bullet"/>
      <w:lvlText w:val=""/>
      <w:lvlJc w:val="left"/>
      <w:pPr>
        <w:tabs>
          <w:tab w:val="num" w:pos="5760"/>
        </w:tabs>
        <w:ind w:left="5760" w:hanging="360"/>
      </w:pPr>
      <w:rPr>
        <w:rFonts w:ascii="Wingdings" w:hAnsi="Wingdings" w:hint="default"/>
      </w:rPr>
    </w:lvl>
    <w:lvl w:ilvl="8" w:tplc="C716350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2079C"/>
    <w:multiLevelType w:val="multilevel"/>
    <w:tmpl w:val="0B7E3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1B74CC"/>
    <w:multiLevelType w:val="hybridMultilevel"/>
    <w:tmpl w:val="F230DC4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941D7F"/>
    <w:multiLevelType w:val="hybridMultilevel"/>
    <w:tmpl w:val="88D00F8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1863F0B"/>
    <w:multiLevelType w:val="hybridMultilevel"/>
    <w:tmpl w:val="F6B666D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6" w15:restartNumberingAfterBreak="0">
    <w:nsid w:val="51E91234"/>
    <w:multiLevelType w:val="hybridMultilevel"/>
    <w:tmpl w:val="EB20EF28"/>
    <w:lvl w:ilvl="0" w:tplc="63CE5C0E">
      <w:start w:val="1"/>
      <w:numFmt w:val="bullet"/>
      <w:lvlText w:val=""/>
      <w:lvlJc w:val="left"/>
      <w:pPr>
        <w:tabs>
          <w:tab w:val="num" w:pos="720"/>
        </w:tabs>
        <w:ind w:left="720" w:hanging="360"/>
      </w:pPr>
      <w:rPr>
        <w:rFonts w:ascii="Wingdings" w:hAnsi="Wingdings" w:hint="default"/>
      </w:rPr>
    </w:lvl>
    <w:lvl w:ilvl="1" w:tplc="E2EE51C6" w:tentative="1">
      <w:start w:val="1"/>
      <w:numFmt w:val="bullet"/>
      <w:lvlText w:val=""/>
      <w:lvlJc w:val="left"/>
      <w:pPr>
        <w:tabs>
          <w:tab w:val="num" w:pos="1440"/>
        </w:tabs>
        <w:ind w:left="1440" w:hanging="360"/>
      </w:pPr>
      <w:rPr>
        <w:rFonts w:ascii="Wingdings" w:hAnsi="Wingdings" w:hint="default"/>
      </w:rPr>
    </w:lvl>
    <w:lvl w:ilvl="2" w:tplc="7FF45B0A" w:tentative="1">
      <w:start w:val="1"/>
      <w:numFmt w:val="bullet"/>
      <w:lvlText w:val=""/>
      <w:lvlJc w:val="left"/>
      <w:pPr>
        <w:tabs>
          <w:tab w:val="num" w:pos="2160"/>
        </w:tabs>
        <w:ind w:left="2160" w:hanging="360"/>
      </w:pPr>
      <w:rPr>
        <w:rFonts w:ascii="Wingdings" w:hAnsi="Wingdings" w:hint="default"/>
      </w:rPr>
    </w:lvl>
    <w:lvl w:ilvl="3" w:tplc="F52C433E" w:tentative="1">
      <w:start w:val="1"/>
      <w:numFmt w:val="bullet"/>
      <w:lvlText w:val=""/>
      <w:lvlJc w:val="left"/>
      <w:pPr>
        <w:tabs>
          <w:tab w:val="num" w:pos="2880"/>
        </w:tabs>
        <w:ind w:left="2880" w:hanging="360"/>
      </w:pPr>
      <w:rPr>
        <w:rFonts w:ascii="Wingdings" w:hAnsi="Wingdings" w:hint="default"/>
      </w:rPr>
    </w:lvl>
    <w:lvl w:ilvl="4" w:tplc="F0DA6394" w:tentative="1">
      <w:start w:val="1"/>
      <w:numFmt w:val="bullet"/>
      <w:lvlText w:val=""/>
      <w:lvlJc w:val="left"/>
      <w:pPr>
        <w:tabs>
          <w:tab w:val="num" w:pos="3600"/>
        </w:tabs>
        <w:ind w:left="3600" w:hanging="360"/>
      </w:pPr>
      <w:rPr>
        <w:rFonts w:ascii="Wingdings" w:hAnsi="Wingdings" w:hint="default"/>
      </w:rPr>
    </w:lvl>
    <w:lvl w:ilvl="5" w:tplc="82FC8C1E" w:tentative="1">
      <w:start w:val="1"/>
      <w:numFmt w:val="bullet"/>
      <w:lvlText w:val=""/>
      <w:lvlJc w:val="left"/>
      <w:pPr>
        <w:tabs>
          <w:tab w:val="num" w:pos="4320"/>
        </w:tabs>
        <w:ind w:left="4320" w:hanging="360"/>
      </w:pPr>
      <w:rPr>
        <w:rFonts w:ascii="Wingdings" w:hAnsi="Wingdings" w:hint="default"/>
      </w:rPr>
    </w:lvl>
    <w:lvl w:ilvl="6" w:tplc="E832776A" w:tentative="1">
      <w:start w:val="1"/>
      <w:numFmt w:val="bullet"/>
      <w:lvlText w:val=""/>
      <w:lvlJc w:val="left"/>
      <w:pPr>
        <w:tabs>
          <w:tab w:val="num" w:pos="5040"/>
        </w:tabs>
        <w:ind w:left="5040" w:hanging="360"/>
      </w:pPr>
      <w:rPr>
        <w:rFonts w:ascii="Wingdings" w:hAnsi="Wingdings" w:hint="default"/>
      </w:rPr>
    </w:lvl>
    <w:lvl w:ilvl="7" w:tplc="B42CA16E" w:tentative="1">
      <w:start w:val="1"/>
      <w:numFmt w:val="bullet"/>
      <w:lvlText w:val=""/>
      <w:lvlJc w:val="left"/>
      <w:pPr>
        <w:tabs>
          <w:tab w:val="num" w:pos="5760"/>
        </w:tabs>
        <w:ind w:left="5760" w:hanging="360"/>
      </w:pPr>
      <w:rPr>
        <w:rFonts w:ascii="Wingdings" w:hAnsi="Wingdings" w:hint="default"/>
      </w:rPr>
    </w:lvl>
    <w:lvl w:ilvl="8" w:tplc="6CE4E6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D510E"/>
    <w:multiLevelType w:val="hybridMultilevel"/>
    <w:tmpl w:val="5302F16A"/>
    <w:lvl w:ilvl="0" w:tplc="C4F472F8">
      <w:numFmt w:val="bullet"/>
      <w:lvlText w:val="-"/>
      <w:lvlJc w:val="left"/>
      <w:pPr>
        <w:ind w:left="1080" w:hanging="360"/>
      </w:pPr>
      <w:rPr>
        <w:rFonts w:ascii="Cambria" w:hAnsi="Cambria" w:hint="default"/>
        <w:b/>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73205912"/>
    <w:multiLevelType w:val="hybridMultilevel"/>
    <w:tmpl w:val="9FC00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50319"/>
    <w:multiLevelType w:val="hybridMultilevel"/>
    <w:tmpl w:val="FAF4F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8"/>
  </w:num>
  <w:num w:numId="6">
    <w:abstractNumId w:val="4"/>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47"/>
    <w:rsid w:val="000015F5"/>
    <w:rsid w:val="000169EF"/>
    <w:rsid w:val="00017FFD"/>
    <w:rsid w:val="00021438"/>
    <w:rsid w:val="0003158F"/>
    <w:rsid w:val="00032CB9"/>
    <w:rsid w:val="00046AAC"/>
    <w:rsid w:val="00051C3F"/>
    <w:rsid w:val="00052721"/>
    <w:rsid w:val="000540DB"/>
    <w:rsid w:val="0005632B"/>
    <w:rsid w:val="00056FB3"/>
    <w:rsid w:val="00064950"/>
    <w:rsid w:val="00064CDC"/>
    <w:rsid w:val="000728DE"/>
    <w:rsid w:val="00073B4B"/>
    <w:rsid w:val="00076B18"/>
    <w:rsid w:val="0007787E"/>
    <w:rsid w:val="000850C2"/>
    <w:rsid w:val="00086281"/>
    <w:rsid w:val="00090929"/>
    <w:rsid w:val="0009108A"/>
    <w:rsid w:val="00092ED6"/>
    <w:rsid w:val="00094927"/>
    <w:rsid w:val="00095AA4"/>
    <w:rsid w:val="000A3BF8"/>
    <w:rsid w:val="000A480B"/>
    <w:rsid w:val="000A6ECE"/>
    <w:rsid w:val="000A7F0B"/>
    <w:rsid w:val="000B0876"/>
    <w:rsid w:val="000B393A"/>
    <w:rsid w:val="000B6317"/>
    <w:rsid w:val="000C0BCA"/>
    <w:rsid w:val="000C42BA"/>
    <w:rsid w:val="000C6647"/>
    <w:rsid w:val="000C7F2D"/>
    <w:rsid w:val="000D5853"/>
    <w:rsid w:val="000D7789"/>
    <w:rsid w:val="000E55DB"/>
    <w:rsid w:val="000E6FBD"/>
    <w:rsid w:val="000E70DC"/>
    <w:rsid w:val="000E7B43"/>
    <w:rsid w:val="000F0BB7"/>
    <w:rsid w:val="000F1C33"/>
    <w:rsid w:val="000F6F6E"/>
    <w:rsid w:val="001020B3"/>
    <w:rsid w:val="0010432A"/>
    <w:rsid w:val="00104DFA"/>
    <w:rsid w:val="001154EF"/>
    <w:rsid w:val="00120558"/>
    <w:rsid w:val="0012542C"/>
    <w:rsid w:val="001342F2"/>
    <w:rsid w:val="00137388"/>
    <w:rsid w:val="00140F13"/>
    <w:rsid w:val="00143918"/>
    <w:rsid w:val="0014505C"/>
    <w:rsid w:val="001465E4"/>
    <w:rsid w:val="00150427"/>
    <w:rsid w:val="00150E90"/>
    <w:rsid w:val="00152A4A"/>
    <w:rsid w:val="001550F4"/>
    <w:rsid w:val="00155C92"/>
    <w:rsid w:val="00155F66"/>
    <w:rsid w:val="00160ED9"/>
    <w:rsid w:val="0016200D"/>
    <w:rsid w:val="00164A0C"/>
    <w:rsid w:val="00165352"/>
    <w:rsid w:val="001711D1"/>
    <w:rsid w:val="0017283E"/>
    <w:rsid w:val="00173FBC"/>
    <w:rsid w:val="00182022"/>
    <w:rsid w:val="00187792"/>
    <w:rsid w:val="00192B68"/>
    <w:rsid w:val="0019346F"/>
    <w:rsid w:val="00195622"/>
    <w:rsid w:val="001964A5"/>
    <w:rsid w:val="001A0F35"/>
    <w:rsid w:val="001A2181"/>
    <w:rsid w:val="001A3276"/>
    <w:rsid w:val="001A3EF4"/>
    <w:rsid w:val="001A684E"/>
    <w:rsid w:val="001B6AEF"/>
    <w:rsid w:val="001C0070"/>
    <w:rsid w:val="001C2F88"/>
    <w:rsid w:val="001C33BD"/>
    <w:rsid w:val="001D2539"/>
    <w:rsid w:val="001D59FD"/>
    <w:rsid w:val="001D5EA9"/>
    <w:rsid w:val="001E11F9"/>
    <w:rsid w:val="001E4850"/>
    <w:rsid w:val="001F0D50"/>
    <w:rsid w:val="001F3ABE"/>
    <w:rsid w:val="001F4A2A"/>
    <w:rsid w:val="001F7786"/>
    <w:rsid w:val="002044CA"/>
    <w:rsid w:val="00205277"/>
    <w:rsid w:val="00205477"/>
    <w:rsid w:val="00205B6F"/>
    <w:rsid w:val="002073DF"/>
    <w:rsid w:val="0021590A"/>
    <w:rsid w:val="00215F67"/>
    <w:rsid w:val="00216258"/>
    <w:rsid w:val="0022277F"/>
    <w:rsid w:val="002343A3"/>
    <w:rsid w:val="00234B82"/>
    <w:rsid w:val="002352A6"/>
    <w:rsid w:val="00241F58"/>
    <w:rsid w:val="00246B69"/>
    <w:rsid w:val="00246C6C"/>
    <w:rsid w:val="00253BCA"/>
    <w:rsid w:val="0025421B"/>
    <w:rsid w:val="0026094A"/>
    <w:rsid w:val="00261456"/>
    <w:rsid w:val="0026672F"/>
    <w:rsid w:val="00274B85"/>
    <w:rsid w:val="00275B34"/>
    <w:rsid w:val="00283081"/>
    <w:rsid w:val="00290B3D"/>
    <w:rsid w:val="00291E9C"/>
    <w:rsid w:val="002A601F"/>
    <w:rsid w:val="002C12EB"/>
    <w:rsid w:val="002C4D3F"/>
    <w:rsid w:val="002C5F5E"/>
    <w:rsid w:val="002C7081"/>
    <w:rsid w:val="002D3521"/>
    <w:rsid w:val="002D39DD"/>
    <w:rsid w:val="002D44B2"/>
    <w:rsid w:val="002D5D4C"/>
    <w:rsid w:val="002F4909"/>
    <w:rsid w:val="0030040E"/>
    <w:rsid w:val="00301E6B"/>
    <w:rsid w:val="003068E7"/>
    <w:rsid w:val="00317732"/>
    <w:rsid w:val="00324767"/>
    <w:rsid w:val="003314DC"/>
    <w:rsid w:val="00333480"/>
    <w:rsid w:val="003364F4"/>
    <w:rsid w:val="00346111"/>
    <w:rsid w:val="00357B90"/>
    <w:rsid w:val="003604E4"/>
    <w:rsid w:val="00360AC8"/>
    <w:rsid w:val="00360D48"/>
    <w:rsid w:val="003670C9"/>
    <w:rsid w:val="00370A16"/>
    <w:rsid w:val="00370C20"/>
    <w:rsid w:val="00370F00"/>
    <w:rsid w:val="00371E3B"/>
    <w:rsid w:val="003743D9"/>
    <w:rsid w:val="00382F84"/>
    <w:rsid w:val="003845F2"/>
    <w:rsid w:val="00387337"/>
    <w:rsid w:val="0039134F"/>
    <w:rsid w:val="00393424"/>
    <w:rsid w:val="00393695"/>
    <w:rsid w:val="00393710"/>
    <w:rsid w:val="00397B68"/>
    <w:rsid w:val="003A2940"/>
    <w:rsid w:val="003A3394"/>
    <w:rsid w:val="003A43B0"/>
    <w:rsid w:val="003A7B4F"/>
    <w:rsid w:val="003B003B"/>
    <w:rsid w:val="003B63AA"/>
    <w:rsid w:val="003B6673"/>
    <w:rsid w:val="003C0F01"/>
    <w:rsid w:val="003C1D04"/>
    <w:rsid w:val="003C6C06"/>
    <w:rsid w:val="003C7AB5"/>
    <w:rsid w:val="003D26EA"/>
    <w:rsid w:val="003D575B"/>
    <w:rsid w:val="003E0797"/>
    <w:rsid w:val="003E1817"/>
    <w:rsid w:val="003E23B9"/>
    <w:rsid w:val="003E67B4"/>
    <w:rsid w:val="003F186E"/>
    <w:rsid w:val="003F2FB8"/>
    <w:rsid w:val="003F46F4"/>
    <w:rsid w:val="003F58CF"/>
    <w:rsid w:val="003F70B4"/>
    <w:rsid w:val="00404D2D"/>
    <w:rsid w:val="0041681C"/>
    <w:rsid w:val="00427F18"/>
    <w:rsid w:val="004311F1"/>
    <w:rsid w:val="004371BE"/>
    <w:rsid w:val="0044115A"/>
    <w:rsid w:val="00444398"/>
    <w:rsid w:val="00451C90"/>
    <w:rsid w:val="004547DA"/>
    <w:rsid w:val="00460048"/>
    <w:rsid w:val="00460E37"/>
    <w:rsid w:val="004614E2"/>
    <w:rsid w:val="004626D4"/>
    <w:rsid w:val="00463A84"/>
    <w:rsid w:val="0046497D"/>
    <w:rsid w:val="00471DAA"/>
    <w:rsid w:val="00482847"/>
    <w:rsid w:val="00483DC7"/>
    <w:rsid w:val="0048431B"/>
    <w:rsid w:val="00492F56"/>
    <w:rsid w:val="004A0403"/>
    <w:rsid w:val="004A0E36"/>
    <w:rsid w:val="004A1BBC"/>
    <w:rsid w:val="004A29C5"/>
    <w:rsid w:val="004A69BA"/>
    <w:rsid w:val="004A7020"/>
    <w:rsid w:val="004B0B6C"/>
    <w:rsid w:val="004B46AC"/>
    <w:rsid w:val="004B633C"/>
    <w:rsid w:val="004B72C5"/>
    <w:rsid w:val="004C0ED4"/>
    <w:rsid w:val="004C482A"/>
    <w:rsid w:val="004C4BF6"/>
    <w:rsid w:val="004D1333"/>
    <w:rsid w:val="004E4B84"/>
    <w:rsid w:val="004E7127"/>
    <w:rsid w:val="004F0428"/>
    <w:rsid w:val="004F4E36"/>
    <w:rsid w:val="00504C80"/>
    <w:rsid w:val="0051161D"/>
    <w:rsid w:val="00513AD7"/>
    <w:rsid w:val="0051468C"/>
    <w:rsid w:val="0051472F"/>
    <w:rsid w:val="005155E3"/>
    <w:rsid w:val="0052124B"/>
    <w:rsid w:val="005214A5"/>
    <w:rsid w:val="00521B95"/>
    <w:rsid w:val="00530853"/>
    <w:rsid w:val="00532005"/>
    <w:rsid w:val="00532361"/>
    <w:rsid w:val="00533781"/>
    <w:rsid w:val="00533A0A"/>
    <w:rsid w:val="00535F3A"/>
    <w:rsid w:val="00541AD6"/>
    <w:rsid w:val="00543C7A"/>
    <w:rsid w:val="005516B5"/>
    <w:rsid w:val="0055386B"/>
    <w:rsid w:val="00554242"/>
    <w:rsid w:val="0055630B"/>
    <w:rsid w:val="00560FDD"/>
    <w:rsid w:val="005613BD"/>
    <w:rsid w:val="005718A8"/>
    <w:rsid w:val="00571B0F"/>
    <w:rsid w:val="00573A83"/>
    <w:rsid w:val="00583145"/>
    <w:rsid w:val="005854E1"/>
    <w:rsid w:val="00592FCA"/>
    <w:rsid w:val="005930B3"/>
    <w:rsid w:val="00594EC6"/>
    <w:rsid w:val="005956FC"/>
    <w:rsid w:val="005A1D53"/>
    <w:rsid w:val="005A5A55"/>
    <w:rsid w:val="005A76C0"/>
    <w:rsid w:val="005B038C"/>
    <w:rsid w:val="005B1CB7"/>
    <w:rsid w:val="005B2661"/>
    <w:rsid w:val="005B4ED6"/>
    <w:rsid w:val="005C3F81"/>
    <w:rsid w:val="005D5E5B"/>
    <w:rsid w:val="005E2D41"/>
    <w:rsid w:val="005E3827"/>
    <w:rsid w:val="005E4423"/>
    <w:rsid w:val="005E79A1"/>
    <w:rsid w:val="005F6226"/>
    <w:rsid w:val="005F7F0E"/>
    <w:rsid w:val="00602919"/>
    <w:rsid w:val="006036F2"/>
    <w:rsid w:val="00604442"/>
    <w:rsid w:val="00616280"/>
    <w:rsid w:val="00625BE4"/>
    <w:rsid w:val="00626672"/>
    <w:rsid w:val="00627DB4"/>
    <w:rsid w:val="006312FE"/>
    <w:rsid w:val="00636321"/>
    <w:rsid w:val="006458CC"/>
    <w:rsid w:val="00652CB7"/>
    <w:rsid w:val="00653B00"/>
    <w:rsid w:val="0066176D"/>
    <w:rsid w:val="00661CC4"/>
    <w:rsid w:val="00663A22"/>
    <w:rsid w:val="00664301"/>
    <w:rsid w:val="0066725C"/>
    <w:rsid w:val="006728E5"/>
    <w:rsid w:val="006764A2"/>
    <w:rsid w:val="0067746C"/>
    <w:rsid w:val="00681711"/>
    <w:rsid w:val="006824D8"/>
    <w:rsid w:val="00683140"/>
    <w:rsid w:val="00683D84"/>
    <w:rsid w:val="006868E1"/>
    <w:rsid w:val="0068718D"/>
    <w:rsid w:val="0068757D"/>
    <w:rsid w:val="00694E62"/>
    <w:rsid w:val="00696DFD"/>
    <w:rsid w:val="006B5CAA"/>
    <w:rsid w:val="006C1600"/>
    <w:rsid w:val="006C23AF"/>
    <w:rsid w:val="006C4376"/>
    <w:rsid w:val="006C7FFC"/>
    <w:rsid w:val="006D0426"/>
    <w:rsid w:val="006D47D1"/>
    <w:rsid w:val="006E1DF2"/>
    <w:rsid w:val="006E231C"/>
    <w:rsid w:val="006F33BD"/>
    <w:rsid w:val="006F3C39"/>
    <w:rsid w:val="00700117"/>
    <w:rsid w:val="00700760"/>
    <w:rsid w:val="007027E2"/>
    <w:rsid w:val="00705001"/>
    <w:rsid w:val="0071155E"/>
    <w:rsid w:val="00713B8B"/>
    <w:rsid w:val="00714CB9"/>
    <w:rsid w:val="0071788A"/>
    <w:rsid w:val="00717C93"/>
    <w:rsid w:val="007224F7"/>
    <w:rsid w:val="007245E7"/>
    <w:rsid w:val="007246A4"/>
    <w:rsid w:val="00734C3A"/>
    <w:rsid w:val="007460B1"/>
    <w:rsid w:val="007507BD"/>
    <w:rsid w:val="00762C4E"/>
    <w:rsid w:val="00764FA8"/>
    <w:rsid w:val="00766CE2"/>
    <w:rsid w:val="007711F2"/>
    <w:rsid w:val="00777919"/>
    <w:rsid w:val="00780A2B"/>
    <w:rsid w:val="007857E6"/>
    <w:rsid w:val="00785957"/>
    <w:rsid w:val="00785A72"/>
    <w:rsid w:val="00786A3B"/>
    <w:rsid w:val="0079126F"/>
    <w:rsid w:val="0079268D"/>
    <w:rsid w:val="0079402B"/>
    <w:rsid w:val="00797D0E"/>
    <w:rsid w:val="007A1467"/>
    <w:rsid w:val="007A20F0"/>
    <w:rsid w:val="007A27BA"/>
    <w:rsid w:val="007A3B14"/>
    <w:rsid w:val="007A5757"/>
    <w:rsid w:val="007A5B6F"/>
    <w:rsid w:val="007B5C72"/>
    <w:rsid w:val="007C1ED1"/>
    <w:rsid w:val="007C3D53"/>
    <w:rsid w:val="007C646C"/>
    <w:rsid w:val="007D2294"/>
    <w:rsid w:val="007D57A4"/>
    <w:rsid w:val="007F1CB3"/>
    <w:rsid w:val="007F2DDC"/>
    <w:rsid w:val="007F75EF"/>
    <w:rsid w:val="0080254C"/>
    <w:rsid w:val="0081674B"/>
    <w:rsid w:val="0081704B"/>
    <w:rsid w:val="00830904"/>
    <w:rsid w:val="008346BE"/>
    <w:rsid w:val="008453C7"/>
    <w:rsid w:val="00845642"/>
    <w:rsid w:val="008516F0"/>
    <w:rsid w:val="00853C4C"/>
    <w:rsid w:val="008554A8"/>
    <w:rsid w:val="00864321"/>
    <w:rsid w:val="00867F79"/>
    <w:rsid w:val="0087110B"/>
    <w:rsid w:val="00872395"/>
    <w:rsid w:val="008814F7"/>
    <w:rsid w:val="00883822"/>
    <w:rsid w:val="0089371F"/>
    <w:rsid w:val="008944DF"/>
    <w:rsid w:val="00894750"/>
    <w:rsid w:val="00896626"/>
    <w:rsid w:val="00897868"/>
    <w:rsid w:val="008A14E7"/>
    <w:rsid w:val="008A1B1C"/>
    <w:rsid w:val="008B71E4"/>
    <w:rsid w:val="008C7D35"/>
    <w:rsid w:val="008D09FF"/>
    <w:rsid w:val="008D0EB0"/>
    <w:rsid w:val="008D19B7"/>
    <w:rsid w:val="008E35CF"/>
    <w:rsid w:val="008E3ADB"/>
    <w:rsid w:val="008E41EB"/>
    <w:rsid w:val="008E49A5"/>
    <w:rsid w:val="008E54E4"/>
    <w:rsid w:val="008E5DF5"/>
    <w:rsid w:val="008F19EB"/>
    <w:rsid w:val="008F381B"/>
    <w:rsid w:val="008F4109"/>
    <w:rsid w:val="008F4A39"/>
    <w:rsid w:val="008F703A"/>
    <w:rsid w:val="00901E9E"/>
    <w:rsid w:val="00902E3C"/>
    <w:rsid w:val="00903FFE"/>
    <w:rsid w:val="00904F5A"/>
    <w:rsid w:val="009072AA"/>
    <w:rsid w:val="0091086A"/>
    <w:rsid w:val="0091708E"/>
    <w:rsid w:val="009207E2"/>
    <w:rsid w:val="009215B9"/>
    <w:rsid w:val="0092282D"/>
    <w:rsid w:val="009241C5"/>
    <w:rsid w:val="009254E4"/>
    <w:rsid w:val="00935B0C"/>
    <w:rsid w:val="00937E3D"/>
    <w:rsid w:val="0094449F"/>
    <w:rsid w:val="00946C47"/>
    <w:rsid w:val="00946D28"/>
    <w:rsid w:val="009519F3"/>
    <w:rsid w:val="0095624A"/>
    <w:rsid w:val="00956FDD"/>
    <w:rsid w:val="009626F3"/>
    <w:rsid w:val="00964DA9"/>
    <w:rsid w:val="0096723A"/>
    <w:rsid w:val="00973204"/>
    <w:rsid w:val="009779C9"/>
    <w:rsid w:val="00980E34"/>
    <w:rsid w:val="00980FBE"/>
    <w:rsid w:val="00982A9A"/>
    <w:rsid w:val="0098498D"/>
    <w:rsid w:val="00991A21"/>
    <w:rsid w:val="009926C1"/>
    <w:rsid w:val="00995456"/>
    <w:rsid w:val="009A115C"/>
    <w:rsid w:val="009A7210"/>
    <w:rsid w:val="009A7AF9"/>
    <w:rsid w:val="009B01CF"/>
    <w:rsid w:val="009B5E37"/>
    <w:rsid w:val="009C4E72"/>
    <w:rsid w:val="009C60CD"/>
    <w:rsid w:val="009D69F3"/>
    <w:rsid w:val="009F35AD"/>
    <w:rsid w:val="009F3B3E"/>
    <w:rsid w:val="00A004AC"/>
    <w:rsid w:val="00A00913"/>
    <w:rsid w:val="00A04029"/>
    <w:rsid w:val="00A047C6"/>
    <w:rsid w:val="00A06B61"/>
    <w:rsid w:val="00A123D9"/>
    <w:rsid w:val="00A14212"/>
    <w:rsid w:val="00A148BF"/>
    <w:rsid w:val="00A15F0A"/>
    <w:rsid w:val="00A20FB2"/>
    <w:rsid w:val="00A3157A"/>
    <w:rsid w:val="00A409B6"/>
    <w:rsid w:val="00A463EF"/>
    <w:rsid w:val="00A5164B"/>
    <w:rsid w:val="00A557BC"/>
    <w:rsid w:val="00A57B7A"/>
    <w:rsid w:val="00A61BFA"/>
    <w:rsid w:val="00A620C1"/>
    <w:rsid w:val="00A70948"/>
    <w:rsid w:val="00A71864"/>
    <w:rsid w:val="00A73D3E"/>
    <w:rsid w:val="00A74F60"/>
    <w:rsid w:val="00A768FD"/>
    <w:rsid w:val="00A77174"/>
    <w:rsid w:val="00A7798D"/>
    <w:rsid w:val="00A77C05"/>
    <w:rsid w:val="00A85CF5"/>
    <w:rsid w:val="00A87BCE"/>
    <w:rsid w:val="00A90617"/>
    <w:rsid w:val="00A936A4"/>
    <w:rsid w:val="00A94AD5"/>
    <w:rsid w:val="00A96DC7"/>
    <w:rsid w:val="00AA1692"/>
    <w:rsid w:val="00AA6BA2"/>
    <w:rsid w:val="00AB078D"/>
    <w:rsid w:val="00AB1C3B"/>
    <w:rsid w:val="00AB2884"/>
    <w:rsid w:val="00AB4322"/>
    <w:rsid w:val="00AB4860"/>
    <w:rsid w:val="00AB67A3"/>
    <w:rsid w:val="00AB7086"/>
    <w:rsid w:val="00AB74AB"/>
    <w:rsid w:val="00AC0011"/>
    <w:rsid w:val="00AC1FE8"/>
    <w:rsid w:val="00AC5759"/>
    <w:rsid w:val="00AD19EA"/>
    <w:rsid w:val="00AD2BDF"/>
    <w:rsid w:val="00AD544E"/>
    <w:rsid w:val="00AE7734"/>
    <w:rsid w:val="00AF00E5"/>
    <w:rsid w:val="00AF1B58"/>
    <w:rsid w:val="00AF47D0"/>
    <w:rsid w:val="00AF7A8D"/>
    <w:rsid w:val="00B027E3"/>
    <w:rsid w:val="00B03DC2"/>
    <w:rsid w:val="00B04DD4"/>
    <w:rsid w:val="00B070F6"/>
    <w:rsid w:val="00B1199D"/>
    <w:rsid w:val="00B12AB7"/>
    <w:rsid w:val="00B13C42"/>
    <w:rsid w:val="00B15427"/>
    <w:rsid w:val="00B17177"/>
    <w:rsid w:val="00B179DA"/>
    <w:rsid w:val="00B218FD"/>
    <w:rsid w:val="00B219DC"/>
    <w:rsid w:val="00B22710"/>
    <w:rsid w:val="00B229B4"/>
    <w:rsid w:val="00B320FE"/>
    <w:rsid w:val="00B35036"/>
    <w:rsid w:val="00B4017C"/>
    <w:rsid w:val="00B412DA"/>
    <w:rsid w:val="00B43BD4"/>
    <w:rsid w:val="00B538D2"/>
    <w:rsid w:val="00B53CBE"/>
    <w:rsid w:val="00B54D91"/>
    <w:rsid w:val="00B56CB6"/>
    <w:rsid w:val="00B57AD0"/>
    <w:rsid w:val="00B65E39"/>
    <w:rsid w:val="00B67BD7"/>
    <w:rsid w:val="00B731FA"/>
    <w:rsid w:val="00B74E3D"/>
    <w:rsid w:val="00B759FB"/>
    <w:rsid w:val="00B75C2E"/>
    <w:rsid w:val="00B77999"/>
    <w:rsid w:val="00B81760"/>
    <w:rsid w:val="00B83FC6"/>
    <w:rsid w:val="00B8553B"/>
    <w:rsid w:val="00B85982"/>
    <w:rsid w:val="00B863AC"/>
    <w:rsid w:val="00B955D7"/>
    <w:rsid w:val="00BA0C2B"/>
    <w:rsid w:val="00BA17FA"/>
    <w:rsid w:val="00BA1868"/>
    <w:rsid w:val="00BA6EAA"/>
    <w:rsid w:val="00BB0576"/>
    <w:rsid w:val="00BB0896"/>
    <w:rsid w:val="00BB1201"/>
    <w:rsid w:val="00BB4FAE"/>
    <w:rsid w:val="00BB550A"/>
    <w:rsid w:val="00BC3341"/>
    <w:rsid w:val="00BC4386"/>
    <w:rsid w:val="00BC4872"/>
    <w:rsid w:val="00BD11CD"/>
    <w:rsid w:val="00BD3E48"/>
    <w:rsid w:val="00BD4435"/>
    <w:rsid w:val="00BE05D4"/>
    <w:rsid w:val="00BE62C0"/>
    <w:rsid w:val="00BE72D8"/>
    <w:rsid w:val="00BF013C"/>
    <w:rsid w:val="00BF216D"/>
    <w:rsid w:val="00BF5AF4"/>
    <w:rsid w:val="00BF5BA6"/>
    <w:rsid w:val="00C023BD"/>
    <w:rsid w:val="00C03B45"/>
    <w:rsid w:val="00C04B8A"/>
    <w:rsid w:val="00C1015A"/>
    <w:rsid w:val="00C16151"/>
    <w:rsid w:val="00C17167"/>
    <w:rsid w:val="00C21B5A"/>
    <w:rsid w:val="00C27C3B"/>
    <w:rsid w:val="00C33331"/>
    <w:rsid w:val="00C40475"/>
    <w:rsid w:val="00C411AA"/>
    <w:rsid w:val="00C4602C"/>
    <w:rsid w:val="00C46D1F"/>
    <w:rsid w:val="00C53AA9"/>
    <w:rsid w:val="00C54F6E"/>
    <w:rsid w:val="00C60229"/>
    <w:rsid w:val="00C61DF3"/>
    <w:rsid w:val="00C62039"/>
    <w:rsid w:val="00C624F9"/>
    <w:rsid w:val="00C71559"/>
    <w:rsid w:val="00C729F9"/>
    <w:rsid w:val="00C73D56"/>
    <w:rsid w:val="00C81850"/>
    <w:rsid w:val="00CA1965"/>
    <w:rsid w:val="00CA43F0"/>
    <w:rsid w:val="00CA53B3"/>
    <w:rsid w:val="00CA60F9"/>
    <w:rsid w:val="00CA7134"/>
    <w:rsid w:val="00CB1EF8"/>
    <w:rsid w:val="00CB23D0"/>
    <w:rsid w:val="00CB6F82"/>
    <w:rsid w:val="00CC0E97"/>
    <w:rsid w:val="00CC1A0D"/>
    <w:rsid w:val="00CC4963"/>
    <w:rsid w:val="00CC5CA0"/>
    <w:rsid w:val="00CC5CAB"/>
    <w:rsid w:val="00CC7054"/>
    <w:rsid w:val="00CD4467"/>
    <w:rsid w:val="00CE116A"/>
    <w:rsid w:val="00CE2EF9"/>
    <w:rsid w:val="00CE5D28"/>
    <w:rsid w:val="00CE6F45"/>
    <w:rsid w:val="00CF53BB"/>
    <w:rsid w:val="00D03612"/>
    <w:rsid w:val="00D136D1"/>
    <w:rsid w:val="00D14A1B"/>
    <w:rsid w:val="00D14B6A"/>
    <w:rsid w:val="00D16F64"/>
    <w:rsid w:val="00D219D0"/>
    <w:rsid w:val="00D344CB"/>
    <w:rsid w:val="00D40A3F"/>
    <w:rsid w:val="00D411FA"/>
    <w:rsid w:val="00D43B12"/>
    <w:rsid w:val="00D45922"/>
    <w:rsid w:val="00D620E9"/>
    <w:rsid w:val="00D62719"/>
    <w:rsid w:val="00D62FD0"/>
    <w:rsid w:val="00D65157"/>
    <w:rsid w:val="00D71763"/>
    <w:rsid w:val="00D77EAD"/>
    <w:rsid w:val="00D80152"/>
    <w:rsid w:val="00D8036C"/>
    <w:rsid w:val="00D808E3"/>
    <w:rsid w:val="00D81DC7"/>
    <w:rsid w:val="00D82529"/>
    <w:rsid w:val="00D83B09"/>
    <w:rsid w:val="00D925E8"/>
    <w:rsid w:val="00D97BD0"/>
    <w:rsid w:val="00DA2AF9"/>
    <w:rsid w:val="00DA7CF7"/>
    <w:rsid w:val="00DB35DC"/>
    <w:rsid w:val="00DB3CFF"/>
    <w:rsid w:val="00DB4E2F"/>
    <w:rsid w:val="00DC36FA"/>
    <w:rsid w:val="00DC3797"/>
    <w:rsid w:val="00DC47DC"/>
    <w:rsid w:val="00DC65F5"/>
    <w:rsid w:val="00DD45FF"/>
    <w:rsid w:val="00DD74BB"/>
    <w:rsid w:val="00DE370F"/>
    <w:rsid w:val="00DE392A"/>
    <w:rsid w:val="00DF1FD4"/>
    <w:rsid w:val="00E00A3C"/>
    <w:rsid w:val="00E07346"/>
    <w:rsid w:val="00E0750C"/>
    <w:rsid w:val="00E07F98"/>
    <w:rsid w:val="00E126BB"/>
    <w:rsid w:val="00E13A12"/>
    <w:rsid w:val="00E13B32"/>
    <w:rsid w:val="00E14E08"/>
    <w:rsid w:val="00E23D4A"/>
    <w:rsid w:val="00E24FE0"/>
    <w:rsid w:val="00E2592B"/>
    <w:rsid w:val="00E35858"/>
    <w:rsid w:val="00E41342"/>
    <w:rsid w:val="00E4639D"/>
    <w:rsid w:val="00E51F82"/>
    <w:rsid w:val="00E565CD"/>
    <w:rsid w:val="00E577F7"/>
    <w:rsid w:val="00E57AFD"/>
    <w:rsid w:val="00E62651"/>
    <w:rsid w:val="00E653AF"/>
    <w:rsid w:val="00E665BC"/>
    <w:rsid w:val="00E669E4"/>
    <w:rsid w:val="00E71239"/>
    <w:rsid w:val="00E71491"/>
    <w:rsid w:val="00E7153A"/>
    <w:rsid w:val="00E71BE2"/>
    <w:rsid w:val="00E73917"/>
    <w:rsid w:val="00E803B8"/>
    <w:rsid w:val="00E855C6"/>
    <w:rsid w:val="00E949A1"/>
    <w:rsid w:val="00E95661"/>
    <w:rsid w:val="00E95F46"/>
    <w:rsid w:val="00EA24E1"/>
    <w:rsid w:val="00EA3BCB"/>
    <w:rsid w:val="00EA5150"/>
    <w:rsid w:val="00EA73A3"/>
    <w:rsid w:val="00EB338F"/>
    <w:rsid w:val="00EC4428"/>
    <w:rsid w:val="00EC6A00"/>
    <w:rsid w:val="00ED05B6"/>
    <w:rsid w:val="00ED3511"/>
    <w:rsid w:val="00ED3CDD"/>
    <w:rsid w:val="00ED5FF1"/>
    <w:rsid w:val="00ED6DD5"/>
    <w:rsid w:val="00ED7668"/>
    <w:rsid w:val="00EE0910"/>
    <w:rsid w:val="00EE541C"/>
    <w:rsid w:val="00EE670D"/>
    <w:rsid w:val="00EF4E95"/>
    <w:rsid w:val="00F054AC"/>
    <w:rsid w:val="00F05AB9"/>
    <w:rsid w:val="00F1020D"/>
    <w:rsid w:val="00F10308"/>
    <w:rsid w:val="00F10BBD"/>
    <w:rsid w:val="00F15875"/>
    <w:rsid w:val="00F22A2D"/>
    <w:rsid w:val="00F24412"/>
    <w:rsid w:val="00F24AB0"/>
    <w:rsid w:val="00F26B00"/>
    <w:rsid w:val="00F30007"/>
    <w:rsid w:val="00F306D7"/>
    <w:rsid w:val="00F318B8"/>
    <w:rsid w:val="00F31AA4"/>
    <w:rsid w:val="00F323B9"/>
    <w:rsid w:val="00F343A2"/>
    <w:rsid w:val="00F35DD2"/>
    <w:rsid w:val="00F35DF4"/>
    <w:rsid w:val="00F40049"/>
    <w:rsid w:val="00F409CB"/>
    <w:rsid w:val="00F42E82"/>
    <w:rsid w:val="00F442D5"/>
    <w:rsid w:val="00F531E1"/>
    <w:rsid w:val="00F56E74"/>
    <w:rsid w:val="00F6184E"/>
    <w:rsid w:val="00F61C83"/>
    <w:rsid w:val="00F628C8"/>
    <w:rsid w:val="00F6776C"/>
    <w:rsid w:val="00F73BE8"/>
    <w:rsid w:val="00F75D60"/>
    <w:rsid w:val="00F90F16"/>
    <w:rsid w:val="00F912C5"/>
    <w:rsid w:val="00F92458"/>
    <w:rsid w:val="00FA2137"/>
    <w:rsid w:val="00FA386E"/>
    <w:rsid w:val="00FB2A77"/>
    <w:rsid w:val="00FB3078"/>
    <w:rsid w:val="00FB31F5"/>
    <w:rsid w:val="00FB4DE9"/>
    <w:rsid w:val="00FB66FC"/>
    <w:rsid w:val="00FB6F46"/>
    <w:rsid w:val="00FC181C"/>
    <w:rsid w:val="00FC47EC"/>
    <w:rsid w:val="00FC5A14"/>
    <w:rsid w:val="00FC622C"/>
    <w:rsid w:val="00FD14D8"/>
    <w:rsid w:val="00FD2D5B"/>
    <w:rsid w:val="00FD5FAB"/>
    <w:rsid w:val="00FD62A1"/>
    <w:rsid w:val="00FD7BB3"/>
    <w:rsid w:val="00FD7C7A"/>
    <w:rsid w:val="00FE09FC"/>
    <w:rsid w:val="00FE1E19"/>
    <w:rsid w:val="00FE2E3F"/>
    <w:rsid w:val="00FE55E1"/>
    <w:rsid w:val="00FE7E17"/>
    <w:rsid w:val="00FF191D"/>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E0842"/>
  <w15:chartTrackingRefBased/>
  <w15:docId w15:val="{58A078D0-8BB3-43D3-B308-BB42F7B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6E"/>
  </w:style>
  <w:style w:type="paragraph" w:styleId="Heading1">
    <w:name w:val="heading 1"/>
    <w:basedOn w:val="Normal"/>
    <w:next w:val="Normal"/>
    <w:link w:val="Heading1Char"/>
    <w:uiPriority w:val="9"/>
    <w:qFormat/>
    <w:rsid w:val="00FA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7B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14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86E"/>
    <w:rPr>
      <w:color w:val="0563C1" w:themeColor="hyperlink"/>
      <w:u w:val="single"/>
    </w:rPr>
  </w:style>
  <w:style w:type="character" w:customStyle="1" w:styleId="Heading1Char">
    <w:name w:val="Heading 1 Char"/>
    <w:basedOn w:val="DefaultParagraphFont"/>
    <w:link w:val="Heading1"/>
    <w:uiPriority w:val="9"/>
    <w:rsid w:val="00FA38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A386E"/>
    <w:pPr>
      <w:outlineLvl w:val="9"/>
    </w:pPr>
  </w:style>
  <w:style w:type="paragraph" w:styleId="TOC1">
    <w:name w:val="toc 1"/>
    <w:basedOn w:val="Normal"/>
    <w:next w:val="Normal"/>
    <w:autoRedefine/>
    <w:uiPriority w:val="39"/>
    <w:unhideWhenUsed/>
    <w:rsid w:val="00FA386E"/>
    <w:pPr>
      <w:spacing w:after="100"/>
    </w:pPr>
  </w:style>
  <w:style w:type="table" w:styleId="TableGrid">
    <w:name w:val="Table Grid"/>
    <w:basedOn w:val="TableNormal"/>
    <w:uiPriority w:val="39"/>
    <w:rsid w:val="00FA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86E"/>
    <w:pPr>
      <w:tabs>
        <w:tab w:val="center" w:pos="4844"/>
        <w:tab w:val="right" w:pos="9689"/>
      </w:tabs>
      <w:spacing w:after="0" w:line="240" w:lineRule="auto"/>
    </w:pPr>
  </w:style>
  <w:style w:type="character" w:customStyle="1" w:styleId="HeaderChar">
    <w:name w:val="Header Char"/>
    <w:basedOn w:val="DefaultParagraphFont"/>
    <w:link w:val="Header"/>
    <w:uiPriority w:val="99"/>
    <w:rsid w:val="00FA386E"/>
  </w:style>
  <w:style w:type="paragraph" w:styleId="Footer">
    <w:name w:val="footer"/>
    <w:basedOn w:val="Normal"/>
    <w:link w:val="FooterChar"/>
    <w:uiPriority w:val="99"/>
    <w:unhideWhenUsed/>
    <w:rsid w:val="00FA386E"/>
    <w:pPr>
      <w:tabs>
        <w:tab w:val="center" w:pos="4844"/>
        <w:tab w:val="right" w:pos="9689"/>
      </w:tabs>
      <w:spacing w:after="0" w:line="240" w:lineRule="auto"/>
    </w:pPr>
  </w:style>
  <w:style w:type="character" w:customStyle="1" w:styleId="FooterChar">
    <w:name w:val="Footer Char"/>
    <w:basedOn w:val="DefaultParagraphFont"/>
    <w:link w:val="Footer"/>
    <w:uiPriority w:val="99"/>
    <w:rsid w:val="00FA386E"/>
  </w:style>
  <w:style w:type="paragraph" w:styleId="FootnoteText">
    <w:name w:val="footnote text"/>
    <w:aliases w:val=" Char,Char,single space,footnote text,FOOTNOTES,fn,Footnote Text Char1,Footnote Text Char2 Char,Footnote Text Char1 Char Char,Footnote Text Char2 Char Char Char,Footnote Text Char1 Char Char Char Char,Cha,ft,ALTS FOOTNOTE,Fußnotentext Char"/>
    <w:basedOn w:val="Normal"/>
    <w:link w:val="FootnoteTextChar"/>
    <w:uiPriority w:val="99"/>
    <w:unhideWhenUsed/>
    <w:qFormat/>
    <w:rsid w:val="00B74E3D"/>
    <w:pPr>
      <w:spacing w:after="0" w:line="240" w:lineRule="auto"/>
    </w:pPr>
    <w:rPr>
      <w:sz w:val="20"/>
      <w:szCs w:val="20"/>
    </w:rPr>
  </w:style>
  <w:style w:type="character" w:customStyle="1" w:styleId="FootnoteTextChar">
    <w:name w:val="Footnote Text Char"/>
    <w:aliases w:val=" Char Char,Char Char,single space Char,footnote text Char,FOOTNOTES Char,fn Char,Footnote Text Char1 Char,Footnote Text Char2 Char Char,Footnote Text Char1 Char Char Char,Footnote Text Char2 Char Char Char Char,Cha Char,ft Char"/>
    <w:basedOn w:val="DefaultParagraphFont"/>
    <w:link w:val="FootnoteText"/>
    <w:uiPriority w:val="99"/>
    <w:qFormat/>
    <w:rsid w:val="00B74E3D"/>
    <w:rPr>
      <w:sz w:val="20"/>
      <w:szCs w:val="20"/>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Cha Char1,R,FR"/>
    <w:basedOn w:val="DefaultParagraphFont"/>
    <w:link w:val="FNRefeCharChar"/>
    <w:uiPriority w:val="99"/>
    <w:unhideWhenUsed/>
    <w:qFormat/>
    <w:rsid w:val="00B74E3D"/>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FootnoteReference"/>
    <w:uiPriority w:val="99"/>
    <w:qFormat/>
    <w:rsid w:val="00B74E3D"/>
    <w:pPr>
      <w:spacing w:line="240" w:lineRule="exact"/>
    </w:pPr>
    <w:rPr>
      <w:vertAlign w:val="superscript"/>
    </w:rPr>
  </w:style>
  <w:style w:type="character" w:customStyle="1" w:styleId="Heading2Char">
    <w:name w:val="Heading 2 Char"/>
    <w:basedOn w:val="DefaultParagraphFont"/>
    <w:link w:val="Heading2"/>
    <w:uiPriority w:val="9"/>
    <w:rsid w:val="00B67BD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67BD7"/>
    <w:pPr>
      <w:spacing w:after="100"/>
      <w:ind w:left="220"/>
    </w:pPr>
  </w:style>
  <w:style w:type="paragraph" w:styleId="ListParagraph">
    <w:name w:val="List Paragraph"/>
    <w:aliases w:val="List Paragraph 1,Citation List,본문(내용),List Paragraph (numbered (a)),Bullet Points,Liste Paragraf,Normal bullet 2,body 2,List Paragraph1,List Paragraph2,References,NUMBERED PARAGRAPH,Bullets,List_Paragraph,Liste 1,Scriptoria bullet points"/>
    <w:basedOn w:val="Normal"/>
    <w:link w:val="ListParagraphChar"/>
    <w:uiPriority w:val="34"/>
    <w:qFormat/>
    <w:rsid w:val="00B67BD7"/>
    <w:pPr>
      <w:ind w:left="720"/>
      <w:contextualSpacing/>
    </w:pPr>
  </w:style>
  <w:style w:type="character" w:customStyle="1" w:styleId="ListParagraphChar">
    <w:name w:val="List Paragraph Char"/>
    <w:aliases w:val="List Paragraph 1 Char,Citation List Char,본문(내용) Char,List Paragraph (numbered (a)) Char,Bullet Points Char,Liste Paragraf Char,Normal bullet 2 Char,body 2 Char,List Paragraph1 Char,List Paragraph2 Char,References Char,Bullets Char"/>
    <w:basedOn w:val="DefaultParagraphFont"/>
    <w:link w:val="ListParagraph"/>
    <w:uiPriority w:val="34"/>
    <w:qFormat/>
    <w:locked/>
    <w:rsid w:val="00B67BD7"/>
  </w:style>
  <w:style w:type="paragraph" w:styleId="NormalWeb">
    <w:name w:val="Normal (Web)"/>
    <w:basedOn w:val="Normal"/>
    <w:uiPriority w:val="99"/>
    <w:unhideWhenUsed/>
    <w:rsid w:val="00427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7149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41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342"/>
    <w:rPr>
      <w:rFonts w:ascii="Segoe UI" w:hAnsi="Segoe UI" w:cs="Segoe UI"/>
      <w:sz w:val="18"/>
      <w:szCs w:val="18"/>
    </w:rPr>
  </w:style>
  <w:style w:type="character" w:styleId="FollowedHyperlink">
    <w:name w:val="FollowedHyperlink"/>
    <w:basedOn w:val="DefaultParagraphFont"/>
    <w:uiPriority w:val="99"/>
    <w:semiHidden/>
    <w:unhideWhenUsed/>
    <w:rsid w:val="00291E9C"/>
    <w:rPr>
      <w:color w:val="954F72" w:themeColor="followedHyperlink"/>
      <w:u w:val="single"/>
    </w:rPr>
  </w:style>
  <w:style w:type="character" w:styleId="CommentReference">
    <w:name w:val="annotation reference"/>
    <w:basedOn w:val="DefaultParagraphFont"/>
    <w:uiPriority w:val="99"/>
    <w:semiHidden/>
    <w:unhideWhenUsed/>
    <w:rsid w:val="00056FB3"/>
    <w:rPr>
      <w:sz w:val="16"/>
      <w:szCs w:val="16"/>
    </w:rPr>
  </w:style>
  <w:style w:type="paragraph" w:styleId="CommentText">
    <w:name w:val="annotation text"/>
    <w:basedOn w:val="Normal"/>
    <w:link w:val="CommentTextChar"/>
    <w:uiPriority w:val="99"/>
    <w:unhideWhenUsed/>
    <w:rsid w:val="00056FB3"/>
    <w:pPr>
      <w:spacing w:line="240" w:lineRule="auto"/>
    </w:pPr>
    <w:rPr>
      <w:sz w:val="20"/>
      <w:szCs w:val="20"/>
    </w:rPr>
  </w:style>
  <w:style w:type="character" w:customStyle="1" w:styleId="CommentTextChar">
    <w:name w:val="Comment Text Char"/>
    <w:basedOn w:val="DefaultParagraphFont"/>
    <w:link w:val="CommentText"/>
    <w:uiPriority w:val="99"/>
    <w:rsid w:val="00056FB3"/>
    <w:rPr>
      <w:sz w:val="20"/>
      <w:szCs w:val="20"/>
    </w:rPr>
  </w:style>
  <w:style w:type="paragraph" w:styleId="CommentSubject">
    <w:name w:val="annotation subject"/>
    <w:basedOn w:val="CommentText"/>
    <w:next w:val="CommentText"/>
    <w:link w:val="CommentSubjectChar"/>
    <w:uiPriority w:val="99"/>
    <w:semiHidden/>
    <w:unhideWhenUsed/>
    <w:rsid w:val="00056FB3"/>
    <w:rPr>
      <w:b/>
      <w:bCs/>
    </w:rPr>
  </w:style>
  <w:style w:type="character" w:customStyle="1" w:styleId="CommentSubjectChar">
    <w:name w:val="Comment Subject Char"/>
    <w:basedOn w:val="CommentTextChar"/>
    <w:link w:val="CommentSubject"/>
    <w:uiPriority w:val="99"/>
    <w:semiHidden/>
    <w:rsid w:val="00056FB3"/>
    <w:rPr>
      <w:b/>
      <w:bCs/>
      <w:sz w:val="20"/>
      <w:szCs w:val="20"/>
    </w:rPr>
  </w:style>
  <w:style w:type="paragraph" w:customStyle="1" w:styleId="Default">
    <w:name w:val="Default"/>
    <w:rsid w:val="007A5757"/>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sid w:val="000C0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82761">
      <w:bodyDiv w:val="1"/>
      <w:marLeft w:val="0"/>
      <w:marRight w:val="0"/>
      <w:marTop w:val="0"/>
      <w:marBottom w:val="0"/>
      <w:divBdr>
        <w:top w:val="none" w:sz="0" w:space="0" w:color="auto"/>
        <w:left w:val="none" w:sz="0" w:space="0" w:color="auto"/>
        <w:bottom w:val="none" w:sz="0" w:space="0" w:color="auto"/>
        <w:right w:val="none" w:sz="0" w:space="0" w:color="auto"/>
      </w:divBdr>
    </w:div>
    <w:div w:id="1725062620">
      <w:bodyDiv w:val="1"/>
      <w:marLeft w:val="0"/>
      <w:marRight w:val="0"/>
      <w:marTop w:val="0"/>
      <w:marBottom w:val="0"/>
      <w:divBdr>
        <w:top w:val="none" w:sz="0" w:space="0" w:color="auto"/>
        <w:left w:val="none" w:sz="0" w:space="0" w:color="auto"/>
        <w:bottom w:val="none" w:sz="0" w:space="0" w:color="auto"/>
        <w:right w:val="none" w:sz="0" w:space="0" w:color="auto"/>
      </w:divBdr>
      <w:divsChild>
        <w:div w:id="528446150">
          <w:marLeft w:val="0"/>
          <w:marRight w:val="0"/>
          <w:marTop w:val="0"/>
          <w:marBottom w:val="0"/>
          <w:divBdr>
            <w:top w:val="none" w:sz="0" w:space="0" w:color="auto"/>
            <w:left w:val="none" w:sz="0" w:space="0" w:color="auto"/>
            <w:bottom w:val="none" w:sz="0" w:space="0" w:color="auto"/>
            <w:right w:val="none" w:sz="0" w:space="0" w:color="auto"/>
          </w:divBdr>
        </w:div>
        <w:div w:id="126125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ccrm@ccrm.md"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www.ccrm.md" TargetMode="External"/><Relationship Id="rId14" Type="http://schemas.openxmlformats.org/officeDocument/2006/relationships/diagramQuickStyle" Target="diagrams/quickStyle1.xml"/><Relationship Id="rId22" Type="http://schemas.microsoft.com/office/2007/relationships/diagramDrawing" Target="diagrams/drawing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RO/TXT/?from=EN&amp;uri=CELEX%3A02014L0024-20180101" TargetMode="External"/><Relationship Id="rId2" Type="http://schemas.openxmlformats.org/officeDocument/2006/relationships/hyperlink" Target="https://mf.gov.md/sites/default/files/Raport%20privind%20asisten%C5%A3a%20extern%C4%83%20pentru%20Republica%20Moldova%202022.pdf" TargetMode="External"/><Relationship Id="rId1" Type="http://schemas.openxmlformats.org/officeDocument/2006/relationships/hyperlink" Target="https://cancelaria.gov.md/sites/default/files/raport.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o-RO" sz="1000" b="1">
                <a:solidFill>
                  <a:sysClr val="windowText" lastClr="000000"/>
                </a:solidFill>
                <a:latin typeface="Times New Roman" panose="02020603050405020304" pitchFamily="18" charset="0"/>
                <a:cs typeface="Times New Roman" panose="02020603050405020304" pitchFamily="18" charset="0"/>
              </a:rPr>
              <a:t>Volumul asistenței externe debursate pentru sectorul public (mil. Euro)</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Anul 2022</c:v>
                </c:pt>
              </c:strCache>
            </c:strRef>
          </c:tx>
          <c:spPr>
            <a:solidFill>
              <a:schemeClr val="accent1"/>
            </a:solidFill>
            <a:ln>
              <a:noFill/>
            </a:ln>
            <a:effectLst/>
          </c:spPr>
          <c:invertIfNegative val="0"/>
          <c:dLbls>
            <c:dLbl>
              <c:idx val="0"/>
              <c:layout>
                <c:manualLayout>
                  <c:x val="-1.96622925220386E-17"/>
                  <c:y val="0.104510451045104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64-45CB-B1C9-63C62FC3B2F6}"/>
                </c:ext>
              </c:extLst>
            </c:dLbl>
            <c:dLbl>
              <c:idx val="1"/>
              <c:layout>
                <c:manualLayout>
                  <c:x val="0"/>
                  <c:y val="0.104510451045104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64-45CB-B1C9-63C62FC3B2F6}"/>
                </c:ext>
              </c:extLst>
            </c:dLbl>
            <c:dLbl>
              <c:idx val="2"/>
              <c:layout>
                <c:manualLayout>
                  <c:x val="0"/>
                  <c:y val="9.9009900990098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64-45CB-B1C9-63C62FC3B2F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Finanțarea proiectelor investiționale</c:v>
                </c:pt>
                <c:pt idx="1">
                  <c:v>Suport bugetar</c:v>
                </c:pt>
                <c:pt idx="2">
                  <c:v>Asistența tehnică</c:v>
                </c:pt>
              </c:strCache>
            </c:strRef>
          </c:cat>
          <c:val>
            <c:numRef>
              <c:f>Sheet1!$B$2:$B$4</c:f>
              <c:numCache>
                <c:formatCode>General</c:formatCode>
                <c:ptCount val="3"/>
                <c:pt idx="0">
                  <c:v>368.1</c:v>
                </c:pt>
                <c:pt idx="1">
                  <c:v>475.2</c:v>
                </c:pt>
                <c:pt idx="2">
                  <c:v>140.19999999999999</c:v>
                </c:pt>
              </c:numCache>
            </c:numRef>
          </c:val>
          <c:extLst>
            <c:ext xmlns:c16="http://schemas.microsoft.com/office/drawing/2014/chart" uri="{C3380CC4-5D6E-409C-BE32-E72D297353CC}">
              <c16:uniqueId val="{00000000-B964-45CB-B1C9-63C62FC3B2F6}"/>
            </c:ext>
          </c:extLst>
        </c:ser>
        <c:ser>
          <c:idx val="1"/>
          <c:order val="1"/>
          <c:tx>
            <c:strRef>
              <c:f>Sheet1!$C$1</c:f>
              <c:strCache>
                <c:ptCount val="1"/>
                <c:pt idx="0">
                  <c:v>Anul 2023</c:v>
                </c:pt>
              </c:strCache>
            </c:strRef>
          </c:tx>
          <c:spPr>
            <a:solidFill>
              <a:schemeClr val="accent2"/>
            </a:solidFill>
            <a:ln>
              <a:noFill/>
            </a:ln>
            <a:effectLst/>
          </c:spPr>
          <c:invertIfNegative val="0"/>
          <c:dLbls>
            <c:dLbl>
              <c:idx val="0"/>
              <c:layout>
                <c:manualLayout>
                  <c:x val="0"/>
                  <c:y val="0.104510451045104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64-45CB-B1C9-63C62FC3B2F6}"/>
                </c:ext>
              </c:extLst>
            </c:dLbl>
            <c:dLbl>
              <c:idx val="1"/>
              <c:layout>
                <c:manualLayout>
                  <c:x val="0"/>
                  <c:y val="0.10451045104510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64-45CB-B1C9-63C62FC3B2F6}"/>
                </c:ext>
              </c:extLst>
            </c:dLbl>
            <c:dLbl>
              <c:idx val="2"/>
              <c:layout>
                <c:manualLayout>
                  <c:x val="2.1450021450021449E-3"/>
                  <c:y val="0.115511551155115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64-45CB-B1C9-63C62FC3B2F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ln w="9525">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Finanțarea proiectelor investiționale</c:v>
                </c:pt>
                <c:pt idx="1">
                  <c:v>Suport bugetar</c:v>
                </c:pt>
                <c:pt idx="2">
                  <c:v>Asistența tehnică</c:v>
                </c:pt>
              </c:strCache>
            </c:strRef>
          </c:cat>
          <c:val>
            <c:numRef>
              <c:f>Sheet1!$C$2:$C$4</c:f>
              <c:numCache>
                <c:formatCode>General</c:formatCode>
                <c:ptCount val="3"/>
                <c:pt idx="0">
                  <c:v>424.8</c:v>
                </c:pt>
                <c:pt idx="1">
                  <c:v>745.3</c:v>
                </c:pt>
                <c:pt idx="2">
                  <c:v>477.5</c:v>
                </c:pt>
              </c:numCache>
            </c:numRef>
          </c:val>
          <c:extLst>
            <c:ext xmlns:c16="http://schemas.microsoft.com/office/drawing/2014/chart" uri="{C3380CC4-5D6E-409C-BE32-E72D297353CC}">
              <c16:uniqueId val="{00000001-B964-45CB-B1C9-63C62FC3B2F6}"/>
            </c:ext>
          </c:extLst>
        </c:ser>
        <c:dLbls>
          <c:showLegendKey val="0"/>
          <c:showVal val="0"/>
          <c:showCatName val="0"/>
          <c:showSerName val="0"/>
          <c:showPercent val="0"/>
          <c:showBubbleSize val="0"/>
        </c:dLbls>
        <c:gapWidth val="219"/>
        <c:overlap val="-27"/>
        <c:axId val="507429023"/>
        <c:axId val="507431519"/>
      </c:barChart>
      <c:catAx>
        <c:axId val="50742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7431519"/>
        <c:crosses val="autoZero"/>
        <c:auto val="1"/>
        <c:lblAlgn val="ctr"/>
        <c:lblOffset val="100"/>
        <c:noMultiLvlLbl val="0"/>
      </c:catAx>
      <c:valAx>
        <c:axId val="507431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742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o-RO" sz="1000" b="1">
                <a:latin typeface="Times New Roman" panose="02020603050405020304" pitchFamily="18" charset="0"/>
                <a:cs typeface="Times New Roman" panose="02020603050405020304" pitchFamily="18" charset="0"/>
              </a:rPr>
              <a:t>Prezentarea grafică a soldurilor de mijloace bănești </a:t>
            </a:r>
          </a:p>
          <a:p>
            <a:pPr>
              <a:defRPr sz="1000"/>
            </a:pPr>
            <a:r>
              <a:rPr lang="ro-RO" sz="1000" b="1">
                <a:latin typeface="Times New Roman" panose="02020603050405020304" pitchFamily="18" charset="0"/>
                <a:cs typeface="Times New Roman" panose="02020603050405020304" pitchFamily="18" charset="0"/>
              </a:rPr>
              <a:t>neutilizate de către UIPFAE până la sfârșitul perioadei</a:t>
            </a:r>
            <a:r>
              <a:rPr lang="ro-RO" sz="1000" b="1" baseline="0">
                <a:latin typeface="Times New Roman" panose="02020603050405020304" pitchFamily="18" charset="0"/>
                <a:cs typeface="Times New Roman" panose="02020603050405020304" pitchFamily="18" charset="0"/>
              </a:rPr>
              <a:t> de gestiune</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9311861110298"/>
          <c:y val="0.22602089268755934"/>
          <c:w val="0.85335092871755347"/>
          <c:h val="0.45845914559825324"/>
        </c:manualLayout>
      </c:layout>
      <c:barChart>
        <c:barDir val="col"/>
        <c:grouping val="clustered"/>
        <c:varyColors val="0"/>
        <c:ser>
          <c:idx val="0"/>
          <c:order val="0"/>
          <c:tx>
            <c:strRef>
              <c:f>Sheet1!$B$1</c:f>
              <c:strCache>
                <c:ptCount val="1"/>
                <c:pt idx="0">
                  <c:v>ADMA</c:v>
                </c:pt>
              </c:strCache>
            </c:strRef>
          </c:tx>
          <c:spPr>
            <a:solidFill>
              <a:schemeClr val="accent1"/>
            </a:solidFill>
            <a:ln>
              <a:noFill/>
            </a:ln>
            <a:effectLst/>
          </c:spPr>
          <c:invertIfNegative val="0"/>
          <c:cat>
            <c:strRef>
              <c:f>Sheet1!$A$2:$A$3</c:f>
              <c:strCache>
                <c:ptCount val="2"/>
                <c:pt idx="0">
                  <c:v>Soldul la 31.12.2022 (mii lei)</c:v>
                </c:pt>
                <c:pt idx="1">
                  <c:v>Soldul la 31.12.2023 (mii lei)</c:v>
                </c:pt>
              </c:strCache>
            </c:strRef>
          </c:cat>
          <c:val>
            <c:numRef>
              <c:f>Sheet1!$B$2:$B$3</c:f>
              <c:numCache>
                <c:formatCode>#,##0.00</c:formatCode>
                <c:ptCount val="2"/>
                <c:pt idx="0">
                  <c:v>42299.95</c:v>
                </c:pt>
                <c:pt idx="1">
                  <c:v>42806.1</c:v>
                </c:pt>
              </c:numCache>
            </c:numRef>
          </c:val>
          <c:extLst>
            <c:ext xmlns:c16="http://schemas.microsoft.com/office/drawing/2014/chart" uri="{C3380CC4-5D6E-409C-BE32-E72D297353CC}">
              <c16:uniqueId val="{00000000-E986-480F-A85C-888BC04D1F8D}"/>
            </c:ext>
          </c:extLst>
        </c:ser>
        <c:ser>
          <c:idx val="1"/>
          <c:order val="1"/>
          <c:tx>
            <c:strRef>
              <c:f>Sheet1!$C$1</c:f>
              <c:strCache>
                <c:ptCount val="1"/>
                <c:pt idx="0">
                  <c:v>OGPAE</c:v>
                </c:pt>
              </c:strCache>
            </c:strRef>
          </c:tx>
          <c:spPr>
            <a:solidFill>
              <a:schemeClr val="accent2"/>
            </a:solidFill>
            <a:ln>
              <a:noFill/>
            </a:ln>
            <a:effectLst/>
          </c:spPr>
          <c:invertIfNegative val="0"/>
          <c:cat>
            <c:strRef>
              <c:f>Sheet1!$A$2:$A$3</c:f>
              <c:strCache>
                <c:ptCount val="2"/>
                <c:pt idx="0">
                  <c:v>Soldul la 31.12.2022 (mii lei)</c:v>
                </c:pt>
                <c:pt idx="1">
                  <c:v>Soldul la 31.12.2023 (mii lei)</c:v>
                </c:pt>
              </c:strCache>
            </c:strRef>
          </c:cat>
          <c:val>
            <c:numRef>
              <c:f>Sheet1!$C$2:$C$3</c:f>
              <c:numCache>
                <c:formatCode>#,##0.00</c:formatCode>
                <c:ptCount val="2"/>
                <c:pt idx="0">
                  <c:v>106361.8</c:v>
                </c:pt>
                <c:pt idx="1">
                  <c:v>107191.66</c:v>
                </c:pt>
              </c:numCache>
            </c:numRef>
          </c:val>
          <c:extLst>
            <c:ext xmlns:c16="http://schemas.microsoft.com/office/drawing/2014/chart" uri="{C3380CC4-5D6E-409C-BE32-E72D297353CC}">
              <c16:uniqueId val="{00000001-E986-480F-A85C-888BC04D1F8D}"/>
            </c:ext>
          </c:extLst>
        </c:ser>
        <c:ser>
          <c:idx val="2"/>
          <c:order val="2"/>
          <c:tx>
            <c:strRef>
              <c:f>Sheet1!$D$1</c:f>
              <c:strCache>
                <c:ptCount val="1"/>
                <c:pt idx="0">
                  <c:v>ONDRL</c:v>
                </c:pt>
              </c:strCache>
            </c:strRef>
          </c:tx>
          <c:spPr>
            <a:solidFill>
              <a:schemeClr val="accent3"/>
            </a:solidFill>
            <a:ln>
              <a:noFill/>
            </a:ln>
            <a:effectLst/>
          </c:spPr>
          <c:invertIfNegative val="0"/>
          <c:cat>
            <c:strRef>
              <c:f>Sheet1!$A$2:$A$3</c:f>
              <c:strCache>
                <c:ptCount val="2"/>
                <c:pt idx="0">
                  <c:v>Soldul la 31.12.2022 (mii lei)</c:v>
                </c:pt>
                <c:pt idx="1">
                  <c:v>Soldul la 31.12.2023 (mii lei)</c:v>
                </c:pt>
              </c:strCache>
            </c:strRef>
          </c:cat>
          <c:val>
            <c:numRef>
              <c:f>Sheet1!$D$2:$D$3</c:f>
              <c:numCache>
                <c:formatCode>#,##0.00</c:formatCode>
                <c:ptCount val="2"/>
                <c:pt idx="0">
                  <c:v>11707.88</c:v>
                </c:pt>
                <c:pt idx="1">
                  <c:v>10202.67</c:v>
                </c:pt>
              </c:numCache>
            </c:numRef>
          </c:val>
          <c:extLst>
            <c:ext xmlns:c16="http://schemas.microsoft.com/office/drawing/2014/chart" uri="{C3380CC4-5D6E-409C-BE32-E72D297353CC}">
              <c16:uniqueId val="{00000002-E986-480F-A85C-888BC04D1F8D}"/>
            </c:ext>
          </c:extLst>
        </c:ser>
        <c:ser>
          <c:idx val="3"/>
          <c:order val="3"/>
          <c:tx>
            <c:strRef>
              <c:f>Sheet1!$E$1</c:f>
              <c:strCache>
                <c:ptCount val="1"/>
                <c:pt idx="0">
                  <c:v>ONIPM</c:v>
                </c:pt>
              </c:strCache>
            </c:strRef>
          </c:tx>
          <c:spPr>
            <a:solidFill>
              <a:schemeClr val="accent4"/>
            </a:solidFill>
            <a:ln>
              <a:noFill/>
            </a:ln>
            <a:effectLst/>
          </c:spPr>
          <c:invertIfNegative val="0"/>
          <c:cat>
            <c:strRef>
              <c:f>Sheet1!$A$2:$A$3</c:f>
              <c:strCache>
                <c:ptCount val="2"/>
                <c:pt idx="0">
                  <c:v>Soldul la 31.12.2022 (mii lei)</c:v>
                </c:pt>
                <c:pt idx="1">
                  <c:v>Soldul la 31.12.2023 (mii lei)</c:v>
                </c:pt>
              </c:strCache>
            </c:strRef>
          </c:cat>
          <c:val>
            <c:numRef>
              <c:f>Sheet1!$E$2:$E$3</c:f>
              <c:numCache>
                <c:formatCode>#,##0.00</c:formatCode>
                <c:ptCount val="2"/>
                <c:pt idx="0">
                  <c:v>4309.79</c:v>
                </c:pt>
                <c:pt idx="1">
                  <c:v>6711.72</c:v>
                </c:pt>
              </c:numCache>
            </c:numRef>
          </c:val>
          <c:extLst>
            <c:ext xmlns:c16="http://schemas.microsoft.com/office/drawing/2014/chart" uri="{C3380CC4-5D6E-409C-BE32-E72D297353CC}">
              <c16:uniqueId val="{00000003-E986-480F-A85C-888BC04D1F8D}"/>
            </c:ext>
          </c:extLst>
        </c:ser>
        <c:ser>
          <c:idx val="4"/>
          <c:order val="4"/>
          <c:tx>
            <c:strRef>
              <c:f>Sheet1!$F$1</c:f>
              <c:strCache>
                <c:ptCount val="1"/>
                <c:pt idx="0">
                  <c:v>UCIMPA</c:v>
                </c:pt>
              </c:strCache>
            </c:strRef>
          </c:tx>
          <c:spPr>
            <a:solidFill>
              <a:schemeClr val="accent5"/>
            </a:solidFill>
            <a:ln>
              <a:noFill/>
            </a:ln>
            <a:effectLst/>
          </c:spPr>
          <c:invertIfNegative val="0"/>
          <c:cat>
            <c:strRef>
              <c:f>Sheet1!$A$2:$A$3</c:f>
              <c:strCache>
                <c:ptCount val="2"/>
                <c:pt idx="0">
                  <c:v>Soldul la 31.12.2022 (mii lei)</c:v>
                </c:pt>
                <c:pt idx="1">
                  <c:v>Soldul la 31.12.2023 (mii lei)</c:v>
                </c:pt>
              </c:strCache>
            </c:strRef>
          </c:cat>
          <c:val>
            <c:numRef>
              <c:f>Sheet1!$F$2:$F$3</c:f>
              <c:numCache>
                <c:formatCode>#,##0.00</c:formatCode>
                <c:ptCount val="2"/>
                <c:pt idx="0">
                  <c:v>7399.51</c:v>
                </c:pt>
                <c:pt idx="1">
                  <c:v>3390.07</c:v>
                </c:pt>
              </c:numCache>
            </c:numRef>
          </c:val>
          <c:extLst>
            <c:ext xmlns:c16="http://schemas.microsoft.com/office/drawing/2014/chart" uri="{C3380CC4-5D6E-409C-BE32-E72D297353CC}">
              <c16:uniqueId val="{00000004-E986-480F-A85C-888BC04D1F8D}"/>
            </c:ext>
          </c:extLst>
        </c:ser>
        <c:ser>
          <c:idx val="5"/>
          <c:order val="5"/>
          <c:tx>
            <c:strRef>
              <c:f>Sheet1!$G$1</c:f>
              <c:strCache>
                <c:ptCount val="1"/>
                <c:pt idx="0">
                  <c:v>UCIMP DS</c:v>
                </c:pt>
              </c:strCache>
            </c:strRef>
          </c:tx>
          <c:spPr>
            <a:solidFill>
              <a:schemeClr val="accent6"/>
            </a:solidFill>
            <a:ln>
              <a:noFill/>
            </a:ln>
            <a:effectLst/>
          </c:spPr>
          <c:invertIfNegative val="0"/>
          <c:cat>
            <c:strRef>
              <c:f>Sheet1!$A$2:$A$3</c:f>
              <c:strCache>
                <c:ptCount val="2"/>
                <c:pt idx="0">
                  <c:v>Soldul la 31.12.2022 (mii lei)</c:v>
                </c:pt>
                <c:pt idx="1">
                  <c:v>Soldul la 31.12.2023 (mii lei)</c:v>
                </c:pt>
              </c:strCache>
            </c:strRef>
          </c:cat>
          <c:val>
            <c:numRef>
              <c:f>Sheet1!$G$2:$G$3</c:f>
              <c:numCache>
                <c:formatCode>#,##0.00</c:formatCode>
                <c:ptCount val="2"/>
                <c:pt idx="0">
                  <c:v>61412.17</c:v>
                </c:pt>
                <c:pt idx="1">
                  <c:v>1172.33</c:v>
                </c:pt>
              </c:numCache>
            </c:numRef>
          </c:val>
          <c:extLst>
            <c:ext xmlns:c16="http://schemas.microsoft.com/office/drawing/2014/chart" uri="{C3380CC4-5D6E-409C-BE32-E72D297353CC}">
              <c16:uniqueId val="{00000005-E986-480F-A85C-888BC04D1F8D}"/>
            </c:ext>
          </c:extLst>
        </c:ser>
        <c:ser>
          <c:idx val="6"/>
          <c:order val="6"/>
          <c:tx>
            <c:strRef>
              <c:f>Sheet1!$H$1</c:f>
              <c:strCache>
                <c:ptCount val="1"/>
                <c:pt idx="0">
                  <c:v>UCIMPRSVV</c:v>
                </c:pt>
              </c:strCache>
            </c:strRef>
          </c:tx>
          <c:spPr>
            <a:solidFill>
              <a:schemeClr val="accent1">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Sheet1!$H$2:$H$3</c:f>
              <c:numCache>
                <c:formatCode>#,##0.00</c:formatCode>
                <c:ptCount val="2"/>
                <c:pt idx="0">
                  <c:v>209278.6</c:v>
                </c:pt>
                <c:pt idx="1">
                  <c:v>29073.78</c:v>
                </c:pt>
              </c:numCache>
            </c:numRef>
          </c:val>
          <c:extLst>
            <c:ext xmlns:c16="http://schemas.microsoft.com/office/drawing/2014/chart" uri="{C3380CC4-5D6E-409C-BE32-E72D297353CC}">
              <c16:uniqueId val="{00000006-E986-480F-A85C-888BC04D1F8D}"/>
            </c:ext>
          </c:extLst>
        </c:ser>
        <c:ser>
          <c:idx val="7"/>
          <c:order val="7"/>
          <c:tx>
            <c:strRef>
              <c:f>Sheet1!$I$1</c:f>
              <c:strCache>
                <c:ptCount val="1"/>
                <c:pt idx="0">
                  <c:v>UCIPE</c:v>
                </c:pt>
              </c:strCache>
            </c:strRef>
          </c:tx>
          <c:spPr>
            <a:solidFill>
              <a:schemeClr val="accent2">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Sheet1!$I$2:$I$3</c:f>
              <c:numCache>
                <c:formatCode>#,##0.00</c:formatCode>
                <c:ptCount val="2"/>
                <c:pt idx="0">
                  <c:v>7208.38</c:v>
                </c:pt>
                <c:pt idx="1">
                  <c:v>9456.1200000000008</c:v>
                </c:pt>
              </c:numCache>
            </c:numRef>
          </c:val>
          <c:extLst>
            <c:ext xmlns:c16="http://schemas.microsoft.com/office/drawing/2014/chart" uri="{C3380CC4-5D6E-409C-BE32-E72D297353CC}">
              <c16:uniqueId val="{00000007-E986-480F-A85C-888BC04D1F8D}"/>
            </c:ext>
          </c:extLst>
        </c:ser>
        <c:ser>
          <c:idx val="8"/>
          <c:order val="8"/>
          <c:tx>
            <c:strRef>
              <c:f>Sheet1!$J$1</c:f>
              <c:strCache>
                <c:ptCount val="1"/>
                <c:pt idx="0">
                  <c:v>UCIP IFAD</c:v>
                </c:pt>
              </c:strCache>
            </c:strRef>
          </c:tx>
          <c:spPr>
            <a:solidFill>
              <a:schemeClr val="accent3">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Sheet1!$J$2:$J$3</c:f>
              <c:numCache>
                <c:formatCode>#,##0.00</c:formatCode>
                <c:ptCount val="2"/>
                <c:pt idx="0">
                  <c:v>42526.04</c:v>
                </c:pt>
                <c:pt idx="1">
                  <c:v>36223.5</c:v>
                </c:pt>
              </c:numCache>
            </c:numRef>
          </c:val>
          <c:extLst>
            <c:ext xmlns:c16="http://schemas.microsoft.com/office/drawing/2014/chart" uri="{C3380CC4-5D6E-409C-BE32-E72D297353CC}">
              <c16:uniqueId val="{00000008-E986-480F-A85C-888BC04D1F8D}"/>
            </c:ext>
          </c:extLst>
        </c:ser>
        <c:ser>
          <c:idx val="9"/>
          <c:order val="9"/>
          <c:tx>
            <c:strRef>
              <c:f>Sheet1!$K$1</c:f>
              <c:strCache>
                <c:ptCount val="1"/>
                <c:pt idx="0">
                  <c:v>UIPAC</c:v>
                </c:pt>
              </c:strCache>
            </c:strRef>
          </c:tx>
          <c:spPr>
            <a:solidFill>
              <a:schemeClr val="accent4">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Sheet1!$K$2:$K$3</c:f>
              <c:numCache>
                <c:formatCode>#,##0.00</c:formatCode>
                <c:ptCount val="2"/>
                <c:pt idx="0">
                  <c:v>7590.78</c:v>
                </c:pt>
                <c:pt idx="1">
                  <c:v>7976.53</c:v>
                </c:pt>
              </c:numCache>
            </c:numRef>
          </c:val>
          <c:extLst>
            <c:ext xmlns:c16="http://schemas.microsoft.com/office/drawing/2014/chart" uri="{C3380CC4-5D6E-409C-BE32-E72D297353CC}">
              <c16:uniqueId val="{00000009-E986-480F-A85C-888BC04D1F8D}"/>
            </c:ext>
          </c:extLst>
        </c:ser>
        <c:ser>
          <c:idx val="10"/>
          <c:order val="10"/>
          <c:tx>
            <c:strRef>
              <c:f>Sheet1!$L$1</c:f>
              <c:strCache>
                <c:ptCount val="1"/>
                <c:pt idx="0">
                  <c:v>UIPCLPSV II</c:v>
                </c:pt>
              </c:strCache>
            </c:strRef>
          </c:tx>
          <c:spPr>
            <a:solidFill>
              <a:schemeClr val="accent5">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Sheet1!$L$2:$L$3</c:f>
              <c:numCache>
                <c:formatCode>General</c:formatCode>
                <c:ptCount val="2"/>
                <c:pt idx="0" formatCode="#,##0.00">
                  <c:v>1865.79</c:v>
                </c:pt>
                <c:pt idx="1">
                  <c:v>536.79</c:v>
                </c:pt>
              </c:numCache>
            </c:numRef>
          </c:val>
          <c:extLst>
            <c:ext xmlns:c16="http://schemas.microsoft.com/office/drawing/2014/chart" uri="{C3380CC4-5D6E-409C-BE32-E72D297353CC}">
              <c16:uniqueId val="{0000000A-E986-480F-A85C-888BC04D1F8D}"/>
            </c:ext>
          </c:extLst>
        </c:ser>
        <c:ser>
          <c:idx val="11"/>
          <c:order val="11"/>
          <c:tx>
            <c:strRef>
              <c:f>Sheet1!$M$1</c:f>
              <c:strCache>
                <c:ptCount val="1"/>
                <c:pt idx="0">
                  <c:v>UIPCPC</c:v>
                </c:pt>
              </c:strCache>
            </c:strRef>
          </c:tx>
          <c:spPr>
            <a:solidFill>
              <a:schemeClr val="accent6">
                <a:lumMod val="60000"/>
              </a:schemeClr>
            </a:solidFill>
            <a:ln>
              <a:noFill/>
            </a:ln>
            <a:effectLst/>
          </c:spPr>
          <c:invertIfNegative val="0"/>
          <c:cat>
            <c:strRef>
              <c:f>Sheet1!$A$2:$A$3</c:f>
              <c:strCache>
                <c:ptCount val="2"/>
                <c:pt idx="0">
                  <c:v>Soldul la 31.12.2022 (mii lei)</c:v>
                </c:pt>
                <c:pt idx="1">
                  <c:v>Soldul la 31.12.2023 (mii lei)</c:v>
                </c:pt>
              </c:strCache>
            </c:strRef>
          </c:cat>
          <c:val>
            <c:numRef>
              <c:f>Sheet1!$M$2:$M$3</c:f>
              <c:numCache>
                <c:formatCode>General</c:formatCode>
                <c:ptCount val="2"/>
                <c:pt idx="0" formatCode="#,##0.00">
                  <c:v>1630.94</c:v>
                </c:pt>
                <c:pt idx="1">
                  <c:v>514.95000000000005</c:v>
                </c:pt>
              </c:numCache>
            </c:numRef>
          </c:val>
          <c:extLst>
            <c:ext xmlns:c16="http://schemas.microsoft.com/office/drawing/2014/chart" uri="{C3380CC4-5D6E-409C-BE32-E72D297353CC}">
              <c16:uniqueId val="{0000000B-E986-480F-A85C-888BC04D1F8D}"/>
            </c:ext>
          </c:extLst>
        </c:ser>
        <c:dLbls>
          <c:showLegendKey val="0"/>
          <c:showVal val="0"/>
          <c:showCatName val="0"/>
          <c:showSerName val="0"/>
          <c:showPercent val="0"/>
          <c:showBubbleSize val="0"/>
        </c:dLbls>
        <c:gapWidth val="219"/>
        <c:overlap val="-27"/>
        <c:axId val="1137784143"/>
        <c:axId val="1137789551"/>
      </c:barChart>
      <c:catAx>
        <c:axId val="1137784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789551"/>
        <c:crosses val="autoZero"/>
        <c:auto val="1"/>
        <c:lblAlgn val="ctr"/>
        <c:lblOffset val="100"/>
        <c:noMultiLvlLbl val="0"/>
      </c:catAx>
      <c:valAx>
        <c:axId val="11377895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37784143"/>
        <c:crosses val="autoZero"/>
        <c:crossBetween val="between"/>
      </c:valAx>
      <c:spPr>
        <a:noFill/>
        <a:ln>
          <a:noFill/>
        </a:ln>
        <a:effectLst/>
      </c:spPr>
    </c:plotArea>
    <c:legend>
      <c:legendPos val="b"/>
      <c:layout>
        <c:manualLayout>
          <c:xMode val="edge"/>
          <c:yMode val="edge"/>
          <c:x val="7.6781410687976268E-2"/>
          <c:y val="0.81752921910402221"/>
          <c:w val="0.89187294896688096"/>
          <c:h val="0.1539807524059492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2CF14B-9EB5-4472-B1ED-F14C56A887B0}"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069940F4-23A7-4784-9AA4-E4D530A21E6F}">
      <dgm:prSet phldrT="[Text]" custT="1"/>
      <dgm:spPr/>
      <dgm:t>
        <a:bodyPr/>
        <a:lstStyle/>
        <a:p>
          <a:r>
            <a:rPr lang="ro-RO" sz="1600" b="1">
              <a:latin typeface="Times New Roman" panose="02020603050405020304" pitchFamily="18" charset="0"/>
              <a:cs typeface="Times New Roman" panose="02020603050405020304" pitchFamily="18" charset="0"/>
            </a:rPr>
            <a:t>UIPFAE</a:t>
          </a:r>
          <a:endParaRPr lang="en-US" sz="1600" b="1">
            <a:latin typeface="Times New Roman" panose="02020603050405020304" pitchFamily="18" charset="0"/>
            <a:cs typeface="Times New Roman" panose="02020603050405020304" pitchFamily="18" charset="0"/>
          </a:endParaRPr>
        </a:p>
      </dgm:t>
    </dgm:pt>
    <dgm:pt modelId="{AA697033-148E-477A-B4D2-6983FE5B8DFE}" type="parTrans" cxnId="{9FC8C497-54AD-4CE4-B2CB-AD9A69DCE330}">
      <dgm:prSet/>
      <dgm:spPr/>
      <dgm:t>
        <a:bodyPr/>
        <a:lstStyle/>
        <a:p>
          <a:endParaRPr lang="en-US"/>
        </a:p>
      </dgm:t>
    </dgm:pt>
    <dgm:pt modelId="{02759F42-01E8-4F05-A181-2B55E6C8242B}" type="sibTrans" cxnId="{9FC8C497-54AD-4CE4-B2CB-AD9A69DCE330}">
      <dgm:prSet/>
      <dgm:spPr/>
      <dgm:t>
        <a:bodyPr/>
        <a:lstStyle/>
        <a:p>
          <a:endParaRPr lang="en-US"/>
        </a:p>
      </dgm:t>
    </dgm:pt>
    <dgm:pt modelId="{14A8A68D-5C32-46C9-88C8-0E7E1E5A87AF}">
      <dgm:prSet phldrT="[Text]" custT="1"/>
      <dgm:spPr/>
      <dgm:t>
        <a:bodyPr/>
        <a:lstStyle/>
        <a:p>
          <a:r>
            <a:rPr lang="ro-RO" sz="1000">
              <a:latin typeface="Times New Roman" panose="02020603050405020304" pitchFamily="18" charset="0"/>
              <a:cs typeface="Times New Roman" panose="02020603050405020304" pitchFamily="18" charset="0"/>
            </a:rPr>
            <a:t>Autoritatea Națională de coordonare a asistenței externe</a:t>
          </a:r>
          <a:endParaRPr lang="en-US" sz="1000">
            <a:latin typeface="Times New Roman" panose="02020603050405020304" pitchFamily="18" charset="0"/>
            <a:cs typeface="Times New Roman" panose="02020603050405020304" pitchFamily="18" charset="0"/>
          </a:endParaRPr>
        </a:p>
      </dgm:t>
    </dgm:pt>
    <dgm:pt modelId="{3F2BCAB9-7173-4AAA-A6CC-BAF5709C0837}" type="parTrans" cxnId="{C74ABC58-179C-453B-8E7B-55EDA8C92FC9}">
      <dgm:prSet/>
      <dgm:spPr/>
      <dgm:t>
        <a:bodyPr/>
        <a:lstStyle/>
        <a:p>
          <a:endParaRPr lang="en-US"/>
        </a:p>
      </dgm:t>
    </dgm:pt>
    <dgm:pt modelId="{91080286-45FA-4391-9B37-5B83A9DE10DA}" type="sibTrans" cxnId="{C74ABC58-179C-453B-8E7B-55EDA8C92FC9}">
      <dgm:prSet/>
      <dgm:spPr/>
      <dgm:t>
        <a:bodyPr/>
        <a:lstStyle/>
        <a:p>
          <a:endParaRPr lang="en-US"/>
        </a:p>
      </dgm:t>
    </dgm:pt>
    <dgm:pt modelId="{6AC886DD-62A1-41DD-9DDB-03E5ECF8A05A}">
      <dgm:prSet phldrT="[Text]" custT="1"/>
      <dgm:spPr/>
      <dgm:t>
        <a:bodyPr/>
        <a:lstStyle/>
        <a:p>
          <a:r>
            <a:rPr lang="ro-RO" sz="1000">
              <a:latin typeface="Times New Roman" panose="02020603050405020304" pitchFamily="18" charset="0"/>
              <a:cs typeface="Times New Roman" panose="02020603050405020304" pitchFamily="18" charset="0"/>
            </a:rPr>
            <a:t>Coordonatorul sectorial +</a:t>
          </a:r>
          <a:r>
            <a:rPr lang="en-US" sz="1000">
              <a:latin typeface="Times New Roman" panose="02020603050405020304" pitchFamily="18" charset="0"/>
              <a:cs typeface="Times New Roman" panose="02020603050405020304" pitchFamily="18" charset="0"/>
            </a:rPr>
            <a:t> </a:t>
          </a:r>
          <a:r>
            <a:rPr lang="ro-RO" sz="1000">
              <a:latin typeface="Times New Roman" panose="02020603050405020304" pitchFamily="18" charset="0"/>
              <a:cs typeface="Times New Roman" panose="02020603050405020304" pitchFamily="18" charset="0"/>
            </a:rPr>
            <a:t>Consiliile sectoriale</a:t>
          </a:r>
          <a:endParaRPr lang="en-US" sz="1000">
            <a:latin typeface="Times New Roman" panose="02020603050405020304" pitchFamily="18" charset="0"/>
            <a:cs typeface="Times New Roman" panose="02020603050405020304" pitchFamily="18" charset="0"/>
          </a:endParaRPr>
        </a:p>
      </dgm:t>
    </dgm:pt>
    <dgm:pt modelId="{68809643-546B-48B1-82D1-922A719F39D0}" type="parTrans" cxnId="{9283EEF7-60BE-4A77-A83F-41D9D56D5289}">
      <dgm:prSet/>
      <dgm:spPr/>
      <dgm:t>
        <a:bodyPr/>
        <a:lstStyle/>
        <a:p>
          <a:endParaRPr lang="en-US"/>
        </a:p>
      </dgm:t>
    </dgm:pt>
    <dgm:pt modelId="{B6D3B4BC-6DAA-468C-88B3-D18347DFE8CE}" type="sibTrans" cxnId="{9283EEF7-60BE-4A77-A83F-41D9D56D5289}">
      <dgm:prSet/>
      <dgm:spPr/>
      <dgm:t>
        <a:bodyPr/>
        <a:lstStyle/>
        <a:p>
          <a:endParaRPr lang="en-US"/>
        </a:p>
      </dgm:t>
    </dgm:pt>
    <dgm:pt modelId="{7B9DA9A7-827A-4A81-BE46-D925FDCA0F2A}">
      <dgm:prSet phldrT="[Text]" custT="1"/>
      <dgm:spPr/>
      <dgm:t>
        <a:bodyPr/>
        <a:lstStyle/>
        <a:p>
          <a:r>
            <a:rPr lang="ro-RO" sz="1000">
              <a:latin typeface="Times New Roman" panose="02020603050405020304" pitchFamily="18" charset="0"/>
              <a:cs typeface="Times New Roman" panose="02020603050405020304" pitchFamily="18" charset="0"/>
            </a:rPr>
            <a:t>Partenerii externi de dezvoltare</a:t>
          </a:r>
          <a:endParaRPr lang="en-US" sz="1000">
            <a:latin typeface="Times New Roman" panose="02020603050405020304" pitchFamily="18" charset="0"/>
            <a:cs typeface="Times New Roman" panose="02020603050405020304" pitchFamily="18" charset="0"/>
          </a:endParaRPr>
        </a:p>
      </dgm:t>
    </dgm:pt>
    <dgm:pt modelId="{0AC08424-AA16-4816-B372-67A47AFBD19B}" type="parTrans" cxnId="{C303453C-5EAA-41A8-A33D-04B6D91B6095}">
      <dgm:prSet/>
      <dgm:spPr/>
      <dgm:t>
        <a:bodyPr/>
        <a:lstStyle/>
        <a:p>
          <a:endParaRPr lang="en-US"/>
        </a:p>
      </dgm:t>
    </dgm:pt>
    <dgm:pt modelId="{AEEF4C14-6E5C-4C37-914E-DB58DDD22975}" type="sibTrans" cxnId="{C303453C-5EAA-41A8-A33D-04B6D91B6095}">
      <dgm:prSet/>
      <dgm:spPr/>
      <dgm:t>
        <a:bodyPr/>
        <a:lstStyle/>
        <a:p>
          <a:endParaRPr lang="en-US"/>
        </a:p>
      </dgm:t>
    </dgm:pt>
    <dgm:pt modelId="{C90516FB-0FE4-4181-9409-F61F1D398FA8}">
      <dgm:prSet phldrT="[Text]" custT="1"/>
      <dgm:spPr/>
      <dgm:t>
        <a:bodyPr/>
        <a:lstStyle/>
        <a:p>
          <a:r>
            <a:rPr lang="ro-RO" sz="1000">
              <a:latin typeface="Times New Roman" panose="02020603050405020304" pitchFamily="18" charset="0"/>
              <a:cs typeface="Times New Roman" panose="02020603050405020304" pitchFamily="18" charset="0"/>
            </a:rPr>
            <a:t>Coordonatorul Național</a:t>
          </a:r>
          <a:endParaRPr lang="en-US" sz="1000">
            <a:latin typeface="Times New Roman" panose="02020603050405020304" pitchFamily="18" charset="0"/>
            <a:cs typeface="Times New Roman" panose="02020603050405020304" pitchFamily="18" charset="0"/>
          </a:endParaRPr>
        </a:p>
      </dgm:t>
    </dgm:pt>
    <dgm:pt modelId="{0D2D90FE-2461-4BAD-90C3-81DD828AD44F}" type="parTrans" cxnId="{C271CEBB-6F29-49BB-AD78-EEE1BE8281BE}">
      <dgm:prSet/>
      <dgm:spPr/>
      <dgm:t>
        <a:bodyPr/>
        <a:lstStyle/>
        <a:p>
          <a:endParaRPr lang="en-US"/>
        </a:p>
      </dgm:t>
    </dgm:pt>
    <dgm:pt modelId="{38B494F1-06FF-4AEC-8D08-4D9417BD46FB}" type="sibTrans" cxnId="{C271CEBB-6F29-49BB-AD78-EEE1BE8281BE}">
      <dgm:prSet/>
      <dgm:spPr/>
      <dgm:t>
        <a:bodyPr/>
        <a:lstStyle/>
        <a:p>
          <a:endParaRPr lang="en-US"/>
        </a:p>
      </dgm:t>
    </dgm:pt>
    <dgm:pt modelId="{523A29ED-195B-4A18-B3E4-EEE0081A6906}" type="pres">
      <dgm:prSet presAssocID="{682CF14B-9EB5-4472-B1ED-F14C56A887B0}" presName="composite" presStyleCnt="0">
        <dgm:presLayoutVars>
          <dgm:chMax val="1"/>
          <dgm:dir/>
          <dgm:resizeHandles val="exact"/>
        </dgm:presLayoutVars>
      </dgm:prSet>
      <dgm:spPr/>
      <dgm:t>
        <a:bodyPr/>
        <a:lstStyle/>
        <a:p>
          <a:endParaRPr lang="en-US"/>
        </a:p>
      </dgm:t>
    </dgm:pt>
    <dgm:pt modelId="{F39B9267-D7E8-4352-9666-CF0CD9BE042C}" type="pres">
      <dgm:prSet presAssocID="{682CF14B-9EB5-4472-B1ED-F14C56A887B0}" presName="radial" presStyleCnt="0">
        <dgm:presLayoutVars>
          <dgm:animLvl val="ctr"/>
        </dgm:presLayoutVars>
      </dgm:prSet>
      <dgm:spPr/>
    </dgm:pt>
    <dgm:pt modelId="{3CD011E9-CDED-4E83-ADF8-392FAC689E8F}" type="pres">
      <dgm:prSet presAssocID="{069940F4-23A7-4784-9AA4-E4D530A21E6F}" presName="centerShape" presStyleLbl="vennNode1" presStyleIdx="0" presStyleCnt="5"/>
      <dgm:spPr/>
      <dgm:t>
        <a:bodyPr/>
        <a:lstStyle/>
        <a:p>
          <a:endParaRPr lang="en-US"/>
        </a:p>
      </dgm:t>
    </dgm:pt>
    <dgm:pt modelId="{23C8B0E2-F7CA-4BB3-AD56-AC56F4E18DEE}" type="pres">
      <dgm:prSet presAssocID="{14A8A68D-5C32-46C9-88C8-0E7E1E5A87AF}" presName="node" presStyleLbl="vennNode1" presStyleIdx="1" presStyleCnt="5" custScaleX="400526" custScaleY="114495" custRadScaleRad="83538" custRadScaleInc="-1256">
        <dgm:presLayoutVars>
          <dgm:bulletEnabled val="1"/>
        </dgm:presLayoutVars>
      </dgm:prSet>
      <dgm:spPr/>
      <dgm:t>
        <a:bodyPr/>
        <a:lstStyle/>
        <a:p>
          <a:endParaRPr lang="en-US"/>
        </a:p>
      </dgm:t>
    </dgm:pt>
    <dgm:pt modelId="{85F83BE0-0253-4C07-A305-A8526637915F}" type="pres">
      <dgm:prSet presAssocID="{6AC886DD-62A1-41DD-9DDB-03E5ECF8A05A}" presName="node" presStyleLbl="vennNode1" presStyleIdx="2" presStyleCnt="5" custScaleX="350280" custScaleY="153534" custRadScaleRad="167253" custRadScaleInc="-457">
        <dgm:presLayoutVars>
          <dgm:bulletEnabled val="1"/>
        </dgm:presLayoutVars>
      </dgm:prSet>
      <dgm:spPr/>
      <dgm:t>
        <a:bodyPr/>
        <a:lstStyle/>
        <a:p>
          <a:endParaRPr lang="en-US"/>
        </a:p>
      </dgm:t>
    </dgm:pt>
    <dgm:pt modelId="{A02309C0-0A50-4A6E-9CE2-DEA5C9F7D089}" type="pres">
      <dgm:prSet presAssocID="{7B9DA9A7-827A-4A81-BE46-D925FDCA0F2A}" presName="node" presStyleLbl="vennNode1" presStyleIdx="3" presStyleCnt="5" custScaleX="369048" custScaleY="91051" custRadScaleRad="81232" custRadScaleInc="-3387">
        <dgm:presLayoutVars>
          <dgm:bulletEnabled val="1"/>
        </dgm:presLayoutVars>
      </dgm:prSet>
      <dgm:spPr/>
      <dgm:t>
        <a:bodyPr/>
        <a:lstStyle/>
        <a:p>
          <a:endParaRPr lang="en-US"/>
        </a:p>
      </dgm:t>
    </dgm:pt>
    <dgm:pt modelId="{9B58009C-65CC-4C46-9689-E7B6D19BE311}" type="pres">
      <dgm:prSet presAssocID="{C90516FB-0FE4-4181-9409-F61F1D398FA8}" presName="node" presStyleLbl="vennNode1" presStyleIdx="4" presStyleCnt="5" custScaleX="334883" custScaleY="144989" custRadScaleRad="159989" custRadScaleInc="29">
        <dgm:presLayoutVars>
          <dgm:bulletEnabled val="1"/>
        </dgm:presLayoutVars>
      </dgm:prSet>
      <dgm:spPr/>
      <dgm:t>
        <a:bodyPr/>
        <a:lstStyle/>
        <a:p>
          <a:endParaRPr lang="en-US"/>
        </a:p>
      </dgm:t>
    </dgm:pt>
  </dgm:ptLst>
  <dgm:cxnLst>
    <dgm:cxn modelId="{9283EEF7-60BE-4A77-A83F-41D9D56D5289}" srcId="{069940F4-23A7-4784-9AA4-E4D530A21E6F}" destId="{6AC886DD-62A1-41DD-9DDB-03E5ECF8A05A}" srcOrd="1" destOrd="0" parTransId="{68809643-546B-48B1-82D1-922A719F39D0}" sibTransId="{B6D3B4BC-6DAA-468C-88B3-D18347DFE8CE}"/>
    <dgm:cxn modelId="{5A8CA7D0-BACB-4FEF-900B-6A622D9C7719}" type="presOf" srcId="{069940F4-23A7-4784-9AA4-E4D530A21E6F}" destId="{3CD011E9-CDED-4E83-ADF8-392FAC689E8F}" srcOrd="0" destOrd="0" presId="urn:microsoft.com/office/officeart/2005/8/layout/radial3"/>
    <dgm:cxn modelId="{C271CEBB-6F29-49BB-AD78-EEE1BE8281BE}" srcId="{069940F4-23A7-4784-9AA4-E4D530A21E6F}" destId="{C90516FB-0FE4-4181-9409-F61F1D398FA8}" srcOrd="3" destOrd="0" parTransId="{0D2D90FE-2461-4BAD-90C3-81DD828AD44F}" sibTransId="{38B494F1-06FF-4AEC-8D08-4D9417BD46FB}"/>
    <dgm:cxn modelId="{EEFEC6B3-BF71-43B2-A18A-703DBD279594}" type="presOf" srcId="{C90516FB-0FE4-4181-9409-F61F1D398FA8}" destId="{9B58009C-65CC-4C46-9689-E7B6D19BE311}" srcOrd="0" destOrd="0" presId="urn:microsoft.com/office/officeart/2005/8/layout/radial3"/>
    <dgm:cxn modelId="{A85571A0-25C8-45AE-B838-868F7249C927}" type="presOf" srcId="{6AC886DD-62A1-41DD-9DDB-03E5ECF8A05A}" destId="{85F83BE0-0253-4C07-A305-A8526637915F}" srcOrd="0" destOrd="0" presId="urn:microsoft.com/office/officeart/2005/8/layout/radial3"/>
    <dgm:cxn modelId="{C303453C-5EAA-41A8-A33D-04B6D91B6095}" srcId="{069940F4-23A7-4784-9AA4-E4D530A21E6F}" destId="{7B9DA9A7-827A-4A81-BE46-D925FDCA0F2A}" srcOrd="2" destOrd="0" parTransId="{0AC08424-AA16-4816-B372-67A47AFBD19B}" sibTransId="{AEEF4C14-6E5C-4C37-914E-DB58DDD22975}"/>
    <dgm:cxn modelId="{E51E3D06-FB45-4827-B3BB-88ED966CDBD9}" type="presOf" srcId="{7B9DA9A7-827A-4A81-BE46-D925FDCA0F2A}" destId="{A02309C0-0A50-4A6E-9CE2-DEA5C9F7D089}" srcOrd="0" destOrd="0" presId="urn:microsoft.com/office/officeart/2005/8/layout/radial3"/>
    <dgm:cxn modelId="{9FC8C497-54AD-4CE4-B2CB-AD9A69DCE330}" srcId="{682CF14B-9EB5-4472-B1ED-F14C56A887B0}" destId="{069940F4-23A7-4784-9AA4-E4D530A21E6F}" srcOrd="0" destOrd="0" parTransId="{AA697033-148E-477A-B4D2-6983FE5B8DFE}" sibTransId="{02759F42-01E8-4F05-A181-2B55E6C8242B}"/>
    <dgm:cxn modelId="{C74ABC58-179C-453B-8E7B-55EDA8C92FC9}" srcId="{069940F4-23A7-4784-9AA4-E4D530A21E6F}" destId="{14A8A68D-5C32-46C9-88C8-0E7E1E5A87AF}" srcOrd="0" destOrd="0" parTransId="{3F2BCAB9-7173-4AAA-A6CC-BAF5709C0837}" sibTransId="{91080286-45FA-4391-9B37-5B83A9DE10DA}"/>
    <dgm:cxn modelId="{9AE3AD89-1D0F-4AD1-9C98-C745F9825F45}" type="presOf" srcId="{682CF14B-9EB5-4472-B1ED-F14C56A887B0}" destId="{523A29ED-195B-4A18-B3E4-EEE0081A6906}" srcOrd="0" destOrd="0" presId="urn:microsoft.com/office/officeart/2005/8/layout/radial3"/>
    <dgm:cxn modelId="{587A90FF-A036-4848-9AD3-F493ABCBEF85}" type="presOf" srcId="{14A8A68D-5C32-46C9-88C8-0E7E1E5A87AF}" destId="{23C8B0E2-F7CA-4BB3-AD56-AC56F4E18DEE}" srcOrd="0" destOrd="0" presId="urn:microsoft.com/office/officeart/2005/8/layout/radial3"/>
    <dgm:cxn modelId="{393D29CA-043E-483B-945B-4C1D30215280}" type="presParOf" srcId="{523A29ED-195B-4A18-B3E4-EEE0081A6906}" destId="{F39B9267-D7E8-4352-9666-CF0CD9BE042C}" srcOrd="0" destOrd="0" presId="urn:microsoft.com/office/officeart/2005/8/layout/radial3"/>
    <dgm:cxn modelId="{71301BFA-FE1C-4E25-83FF-4B47785356FF}" type="presParOf" srcId="{F39B9267-D7E8-4352-9666-CF0CD9BE042C}" destId="{3CD011E9-CDED-4E83-ADF8-392FAC689E8F}" srcOrd="0" destOrd="0" presId="urn:microsoft.com/office/officeart/2005/8/layout/radial3"/>
    <dgm:cxn modelId="{3261ADBE-249F-449C-86E4-8B7262910E6C}" type="presParOf" srcId="{F39B9267-D7E8-4352-9666-CF0CD9BE042C}" destId="{23C8B0E2-F7CA-4BB3-AD56-AC56F4E18DEE}" srcOrd="1" destOrd="0" presId="urn:microsoft.com/office/officeart/2005/8/layout/radial3"/>
    <dgm:cxn modelId="{535E1D07-4DE5-482E-8EA1-AA963F0A2145}" type="presParOf" srcId="{F39B9267-D7E8-4352-9666-CF0CD9BE042C}" destId="{85F83BE0-0253-4C07-A305-A8526637915F}" srcOrd="2" destOrd="0" presId="urn:microsoft.com/office/officeart/2005/8/layout/radial3"/>
    <dgm:cxn modelId="{117B9D28-85C9-4E85-8C26-DDB5E6163144}" type="presParOf" srcId="{F39B9267-D7E8-4352-9666-CF0CD9BE042C}" destId="{A02309C0-0A50-4A6E-9CE2-DEA5C9F7D089}" srcOrd="3" destOrd="0" presId="urn:microsoft.com/office/officeart/2005/8/layout/radial3"/>
    <dgm:cxn modelId="{E786C38F-85C9-4780-8381-022A2AD23927}" type="presParOf" srcId="{F39B9267-D7E8-4352-9666-CF0CD9BE042C}" destId="{9B58009C-65CC-4C46-9689-E7B6D19BE311}" srcOrd="4"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BA4FDB-3561-43C0-85EC-999FFB0EA6C3}" type="doc">
      <dgm:prSet loTypeId="urn:microsoft.com/office/officeart/2005/8/layout/cycle4" loCatId="cycle" qsTypeId="urn:microsoft.com/office/officeart/2005/8/quickstyle/3d2" qsCatId="3D" csTypeId="urn:microsoft.com/office/officeart/2005/8/colors/colorful4" csCatId="colorful" phldr="1"/>
      <dgm:spPr/>
      <dgm:t>
        <a:bodyPr/>
        <a:lstStyle/>
        <a:p>
          <a:endParaRPr lang="en-US"/>
        </a:p>
      </dgm:t>
    </dgm:pt>
    <dgm:pt modelId="{7F87FC4C-1310-472D-8D8C-88FFBF394122}">
      <dgm:prSet phldrT="[Text]" custT="1"/>
      <dgm:spPr/>
      <dgm:t>
        <a:bodyPr/>
        <a:lstStyle/>
        <a:p>
          <a:pPr algn="ctr"/>
          <a:r>
            <a:rPr lang="ro-MD" sz="1000" b="1">
              <a:solidFill>
                <a:schemeClr val="accent5">
                  <a:lumMod val="50000"/>
                </a:schemeClr>
              </a:solidFill>
            </a:rPr>
            <a:t>Claritatea rolurilor și a responsabilităților</a:t>
          </a:r>
          <a:endParaRPr lang="en-US" sz="1000" b="1">
            <a:solidFill>
              <a:schemeClr val="accent5">
                <a:lumMod val="50000"/>
              </a:schemeClr>
            </a:solidFill>
          </a:endParaRPr>
        </a:p>
      </dgm:t>
    </dgm:pt>
    <dgm:pt modelId="{43D9A86F-4D36-4F08-987B-E31E7A99043C}" type="parTrans" cxnId="{1430CE0E-99BA-4C31-93CE-CEEF87C5BF1F}">
      <dgm:prSet/>
      <dgm:spPr/>
      <dgm:t>
        <a:bodyPr/>
        <a:lstStyle/>
        <a:p>
          <a:endParaRPr lang="en-US"/>
        </a:p>
      </dgm:t>
    </dgm:pt>
    <dgm:pt modelId="{65C9221C-E9A6-4253-8477-1B15E960A72B}" type="sibTrans" cxnId="{1430CE0E-99BA-4C31-93CE-CEEF87C5BF1F}">
      <dgm:prSet/>
      <dgm:spPr/>
      <dgm:t>
        <a:bodyPr/>
        <a:lstStyle/>
        <a:p>
          <a:endParaRPr lang="en-US"/>
        </a:p>
      </dgm:t>
    </dgm:pt>
    <dgm:pt modelId="{41785799-E94A-4F15-9229-E4E16CAC1ABE}">
      <dgm:prSet phldrT="[Text]" custT="1"/>
      <dgm:spPr/>
      <dgm:t>
        <a:bodyPr/>
        <a:lstStyle/>
        <a:p>
          <a:pPr algn="ctr"/>
          <a:r>
            <a:rPr lang="ro-MD" sz="1000" b="1">
              <a:solidFill>
                <a:schemeClr val="accent5">
                  <a:lumMod val="50000"/>
                </a:schemeClr>
              </a:solidFill>
            </a:rPr>
            <a:t>Controlul riscurilor</a:t>
          </a:r>
        </a:p>
      </dgm:t>
    </dgm:pt>
    <dgm:pt modelId="{2DA514B2-A4BA-4CAD-B22B-9EC38110B669}" type="parTrans" cxnId="{B5A43551-B761-46FF-A5F1-5A4B2A7CF20C}">
      <dgm:prSet/>
      <dgm:spPr/>
      <dgm:t>
        <a:bodyPr/>
        <a:lstStyle/>
        <a:p>
          <a:endParaRPr lang="en-US"/>
        </a:p>
      </dgm:t>
    </dgm:pt>
    <dgm:pt modelId="{CC01A168-BF5A-40A1-948F-57F3BB31CD4B}" type="sibTrans" cxnId="{B5A43551-B761-46FF-A5F1-5A4B2A7CF20C}">
      <dgm:prSet/>
      <dgm:spPr/>
      <dgm:t>
        <a:bodyPr/>
        <a:lstStyle/>
        <a:p>
          <a:endParaRPr lang="en-US"/>
        </a:p>
      </dgm:t>
    </dgm:pt>
    <dgm:pt modelId="{651E7ACE-D22C-4383-9D6A-84C5BCC17F35}">
      <dgm:prSet phldrT="[Text]" custT="1"/>
      <dgm:spPr/>
      <dgm:t>
        <a:bodyPr/>
        <a:lstStyle/>
        <a:p>
          <a:pPr algn="ctr"/>
          <a:r>
            <a:rPr lang="ro-MD" sz="1000" b="1">
              <a:solidFill>
                <a:schemeClr val="accent5">
                  <a:lumMod val="50000"/>
                </a:schemeClr>
              </a:solidFill>
            </a:rPr>
            <a:t>Standardizarea calității</a:t>
          </a:r>
        </a:p>
      </dgm:t>
    </dgm:pt>
    <dgm:pt modelId="{45262781-64F9-41F0-A653-F41CF5A052CC}" type="parTrans" cxnId="{43A1696A-5563-46F3-B4E6-606F881F8152}">
      <dgm:prSet/>
      <dgm:spPr/>
      <dgm:t>
        <a:bodyPr/>
        <a:lstStyle/>
        <a:p>
          <a:endParaRPr lang="en-US"/>
        </a:p>
      </dgm:t>
    </dgm:pt>
    <dgm:pt modelId="{9D9B5DF2-ACAF-4E96-97C6-592E484E9B56}" type="sibTrans" cxnId="{43A1696A-5563-46F3-B4E6-606F881F8152}">
      <dgm:prSet/>
      <dgm:spPr/>
      <dgm:t>
        <a:bodyPr/>
        <a:lstStyle/>
        <a:p>
          <a:endParaRPr lang="en-US"/>
        </a:p>
      </dgm:t>
    </dgm:pt>
    <dgm:pt modelId="{C9DE31C6-77A3-4DD6-8059-786FBEE0D4D3}">
      <dgm:prSet phldrT="[Text]" custT="1"/>
      <dgm:spPr/>
      <dgm:t>
        <a:bodyPr/>
        <a:lstStyle/>
        <a:p>
          <a:pPr algn="ctr"/>
          <a:r>
            <a:rPr lang="ro-MD" sz="1000" b="1">
              <a:solidFill>
                <a:schemeClr val="bg1"/>
              </a:solidFill>
            </a:rPr>
            <a:t>Transparență și conformitate</a:t>
          </a:r>
        </a:p>
      </dgm:t>
    </dgm:pt>
    <dgm:pt modelId="{54E04A20-1D10-4DC9-A025-193E43CD302A}" type="parTrans" cxnId="{E3BAA4E9-0937-45AF-8F74-B455F9FE4226}">
      <dgm:prSet/>
      <dgm:spPr/>
      <dgm:t>
        <a:bodyPr/>
        <a:lstStyle/>
        <a:p>
          <a:endParaRPr lang="en-US"/>
        </a:p>
      </dgm:t>
    </dgm:pt>
    <dgm:pt modelId="{6FE4A49C-ED06-49FB-B057-2558BC2F8FA7}" type="sibTrans" cxnId="{E3BAA4E9-0937-45AF-8F74-B455F9FE4226}">
      <dgm:prSet/>
      <dgm:spPr/>
      <dgm:t>
        <a:bodyPr/>
        <a:lstStyle/>
        <a:p>
          <a:endParaRPr lang="en-US"/>
        </a:p>
      </dgm:t>
    </dgm:pt>
    <dgm:pt modelId="{D04467F6-3432-4C2A-970B-7723DAE34A14}" type="pres">
      <dgm:prSet presAssocID="{EDBA4FDB-3561-43C0-85EC-999FFB0EA6C3}" presName="cycleMatrixDiagram" presStyleCnt="0">
        <dgm:presLayoutVars>
          <dgm:chMax val="1"/>
          <dgm:dir/>
          <dgm:animLvl val="lvl"/>
          <dgm:resizeHandles val="exact"/>
        </dgm:presLayoutVars>
      </dgm:prSet>
      <dgm:spPr/>
      <dgm:t>
        <a:bodyPr/>
        <a:lstStyle/>
        <a:p>
          <a:endParaRPr lang="en-US"/>
        </a:p>
      </dgm:t>
    </dgm:pt>
    <dgm:pt modelId="{5E16C0C4-89E9-4B3C-A2BA-CC45FB3A67B9}" type="pres">
      <dgm:prSet presAssocID="{EDBA4FDB-3561-43C0-85EC-999FFB0EA6C3}" presName="children" presStyleCnt="0"/>
      <dgm:spPr/>
    </dgm:pt>
    <dgm:pt modelId="{DB04F725-6EEE-43BF-BDA2-2150B3879E7E}" type="pres">
      <dgm:prSet presAssocID="{EDBA4FDB-3561-43C0-85EC-999FFB0EA6C3}" presName="childPlaceholder" presStyleCnt="0"/>
      <dgm:spPr/>
    </dgm:pt>
    <dgm:pt modelId="{645F9D70-F94B-48BD-873F-2B9B36598D2D}" type="pres">
      <dgm:prSet presAssocID="{EDBA4FDB-3561-43C0-85EC-999FFB0EA6C3}" presName="circle" presStyleCnt="0"/>
      <dgm:spPr/>
    </dgm:pt>
    <dgm:pt modelId="{B64E5EFB-C266-4F2A-8F48-A804DA6155C6}" type="pres">
      <dgm:prSet presAssocID="{EDBA4FDB-3561-43C0-85EC-999FFB0EA6C3}" presName="quadrant1" presStyleLbl="node1" presStyleIdx="0" presStyleCnt="4">
        <dgm:presLayoutVars>
          <dgm:chMax val="1"/>
          <dgm:bulletEnabled val="1"/>
        </dgm:presLayoutVars>
      </dgm:prSet>
      <dgm:spPr/>
      <dgm:t>
        <a:bodyPr/>
        <a:lstStyle/>
        <a:p>
          <a:endParaRPr lang="en-US"/>
        </a:p>
      </dgm:t>
    </dgm:pt>
    <dgm:pt modelId="{6DB0C639-620E-425C-955F-81CE4C04B8D9}" type="pres">
      <dgm:prSet presAssocID="{EDBA4FDB-3561-43C0-85EC-999FFB0EA6C3}" presName="quadrant2" presStyleLbl="node1" presStyleIdx="1" presStyleCnt="4">
        <dgm:presLayoutVars>
          <dgm:chMax val="1"/>
          <dgm:bulletEnabled val="1"/>
        </dgm:presLayoutVars>
      </dgm:prSet>
      <dgm:spPr/>
      <dgm:t>
        <a:bodyPr/>
        <a:lstStyle/>
        <a:p>
          <a:endParaRPr lang="en-US"/>
        </a:p>
      </dgm:t>
    </dgm:pt>
    <dgm:pt modelId="{5C16A564-6F57-40C2-B064-F611857F75AB}" type="pres">
      <dgm:prSet presAssocID="{EDBA4FDB-3561-43C0-85EC-999FFB0EA6C3}" presName="quadrant3" presStyleLbl="node1" presStyleIdx="2" presStyleCnt="4">
        <dgm:presLayoutVars>
          <dgm:chMax val="1"/>
          <dgm:bulletEnabled val="1"/>
        </dgm:presLayoutVars>
      </dgm:prSet>
      <dgm:spPr/>
      <dgm:t>
        <a:bodyPr/>
        <a:lstStyle/>
        <a:p>
          <a:endParaRPr lang="en-US"/>
        </a:p>
      </dgm:t>
    </dgm:pt>
    <dgm:pt modelId="{1E510249-241B-422F-83B4-6E44A89120E3}" type="pres">
      <dgm:prSet presAssocID="{EDBA4FDB-3561-43C0-85EC-999FFB0EA6C3}" presName="quadrant4" presStyleLbl="node1" presStyleIdx="3" presStyleCnt="4">
        <dgm:presLayoutVars>
          <dgm:chMax val="1"/>
          <dgm:bulletEnabled val="1"/>
        </dgm:presLayoutVars>
      </dgm:prSet>
      <dgm:spPr/>
      <dgm:t>
        <a:bodyPr/>
        <a:lstStyle/>
        <a:p>
          <a:endParaRPr lang="en-US"/>
        </a:p>
      </dgm:t>
    </dgm:pt>
    <dgm:pt modelId="{D648A85C-F98E-4E0C-9800-DCDF2B931B42}" type="pres">
      <dgm:prSet presAssocID="{EDBA4FDB-3561-43C0-85EC-999FFB0EA6C3}" presName="quadrantPlaceholder" presStyleCnt="0"/>
      <dgm:spPr/>
    </dgm:pt>
    <dgm:pt modelId="{D087B94B-3637-4FE6-8D07-54838403313F}" type="pres">
      <dgm:prSet presAssocID="{EDBA4FDB-3561-43C0-85EC-999FFB0EA6C3}" presName="center1" presStyleLbl="fgShp" presStyleIdx="0" presStyleCnt="2"/>
      <dgm:spPr/>
    </dgm:pt>
    <dgm:pt modelId="{1F2DF89C-BCF3-4405-92A0-2854056FD9DE}" type="pres">
      <dgm:prSet presAssocID="{EDBA4FDB-3561-43C0-85EC-999FFB0EA6C3}" presName="center2" presStyleLbl="fgShp" presStyleIdx="1" presStyleCnt="2"/>
      <dgm:spPr/>
    </dgm:pt>
  </dgm:ptLst>
  <dgm:cxnLst>
    <dgm:cxn modelId="{B5A43551-B761-46FF-A5F1-5A4B2A7CF20C}" srcId="{EDBA4FDB-3561-43C0-85EC-999FFB0EA6C3}" destId="{41785799-E94A-4F15-9229-E4E16CAC1ABE}" srcOrd="1" destOrd="0" parTransId="{2DA514B2-A4BA-4CAD-B22B-9EC38110B669}" sibTransId="{CC01A168-BF5A-40A1-948F-57F3BB31CD4B}"/>
    <dgm:cxn modelId="{43A1696A-5563-46F3-B4E6-606F881F8152}" srcId="{EDBA4FDB-3561-43C0-85EC-999FFB0EA6C3}" destId="{651E7ACE-D22C-4383-9D6A-84C5BCC17F35}" srcOrd="2" destOrd="0" parTransId="{45262781-64F9-41F0-A653-F41CF5A052CC}" sibTransId="{9D9B5DF2-ACAF-4E96-97C6-592E484E9B56}"/>
    <dgm:cxn modelId="{BBB6F7F5-BFF0-4F31-BFDC-61C7B4BA9008}" type="presOf" srcId="{41785799-E94A-4F15-9229-E4E16CAC1ABE}" destId="{6DB0C639-620E-425C-955F-81CE4C04B8D9}" srcOrd="0" destOrd="0" presId="urn:microsoft.com/office/officeart/2005/8/layout/cycle4"/>
    <dgm:cxn modelId="{1430CE0E-99BA-4C31-93CE-CEEF87C5BF1F}" srcId="{EDBA4FDB-3561-43C0-85EC-999FFB0EA6C3}" destId="{7F87FC4C-1310-472D-8D8C-88FFBF394122}" srcOrd="0" destOrd="0" parTransId="{43D9A86F-4D36-4F08-987B-E31E7A99043C}" sibTransId="{65C9221C-E9A6-4253-8477-1B15E960A72B}"/>
    <dgm:cxn modelId="{072B3790-7126-47E9-A8EE-74FB9C591CAF}" type="presOf" srcId="{EDBA4FDB-3561-43C0-85EC-999FFB0EA6C3}" destId="{D04467F6-3432-4C2A-970B-7723DAE34A14}" srcOrd="0" destOrd="0" presId="urn:microsoft.com/office/officeart/2005/8/layout/cycle4"/>
    <dgm:cxn modelId="{2999B91E-B838-4F44-A322-C4B20A147F9D}" type="presOf" srcId="{C9DE31C6-77A3-4DD6-8059-786FBEE0D4D3}" destId="{1E510249-241B-422F-83B4-6E44A89120E3}" srcOrd="0" destOrd="0" presId="urn:microsoft.com/office/officeart/2005/8/layout/cycle4"/>
    <dgm:cxn modelId="{44A3AFBA-6C92-4AF0-8066-7D4085D935E5}" type="presOf" srcId="{7F87FC4C-1310-472D-8D8C-88FFBF394122}" destId="{B64E5EFB-C266-4F2A-8F48-A804DA6155C6}" srcOrd="0" destOrd="0" presId="urn:microsoft.com/office/officeart/2005/8/layout/cycle4"/>
    <dgm:cxn modelId="{0F40F223-E073-4C64-95E3-DF482E76E14A}" type="presOf" srcId="{651E7ACE-D22C-4383-9D6A-84C5BCC17F35}" destId="{5C16A564-6F57-40C2-B064-F611857F75AB}" srcOrd="0" destOrd="0" presId="urn:microsoft.com/office/officeart/2005/8/layout/cycle4"/>
    <dgm:cxn modelId="{E3BAA4E9-0937-45AF-8F74-B455F9FE4226}" srcId="{EDBA4FDB-3561-43C0-85EC-999FFB0EA6C3}" destId="{C9DE31C6-77A3-4DD6-8059-786FBEE0D4D3}" srcOrd="3" destOrd="0" parTransId="{54E04A20-1D10-4DC9-A025-193E43CD302A}" sibTransId="{6FE4A49C-ED06-49FB-B057-2558BC2F8FA7}"/>
    <dgm:cxn modelId="{09D0715B-237A-469C-A4B0-1AE18A02B488}" type="presParOf" srcId="{D04467F6-3432-4C2A-970B-7723DAE34A14}" destId="{5E16C0C4-89E9-4B3C-A2BA-CC45FB3A67B9}" srcOrd="0" destOrd="0" presId="urn:microsoft.com/office/officeart/2005/8/layout/cycle4"/>
    <dgm:cxn modelId="{1BCB7AE4-2A85-48E7-8762-94A001D1C50F}" type="presParOf" srcId="{5E16C0C4-89E9-4B3C-A2BA-CC45FB3A67B9}" destId="{DB04F725-6EEE-43BF-BDA2-2150B3879E7E}" srcOrd="0" destOrd="0" presId="urn:microsoft.com/office/officeart/2005/8/layout/cycle4"/>
    <dgm:cxn modelId="{A44679BD-44E5-40DB-846C-99B5CD375861}" type="presParOf" srcId="{D04467F6-3432-4C2A-970B-7723DAE34A14}" destId="{645F9D70-F94B-48BD-873F-2B9B36598D2D}" srcOrd="1" destOrd="0" presId="urn:microsoft.com/office/officeart/2005/8/layout/cycle4"/>
    <dgm:cxn modelId="{09BD0FCD-A737-43DC-B2B3-B52EEA62E862}" type="presParOf" srcId="{645F9D70-F94B-48BD-873F-2B9B36598D2D}" destId="{B64E5EFB-C266-4F2A-8F48-A804DA6155C6}" srcOrd="0" destOrd="0" presId="urn:microsoft.com/office/officeart/2005/8/layout/cycle4"/>
    <dgm:cxn modelId="{446A2B78-BA08-4041-9B88-F3D74F51021A}" type="presParOf" srcId="{645F9D70-F94B-48BD-873F-2B9B36598D2D}" destId="{6DB0C639-620E-425C-955F-81CE4C04B8D9}" srcOrd="1" destOrd="0" presId="urn:microsoft.com/office/officeart/2005/8/layout/cycle4"/>
    <dgm:cxn modelId="{A054196A-3586-4762-AE95-C110CAAF92B6}" type="presParOf" srcId="{645F9D70-F94B-48BD-873F-2B9B36598D2D}" destId="{5C16A564-6F57-40C2-B064-F611857F75AB}" srcOrd="2" destOrd="0" presId="urn:microsoft.com/office/officeart/2005/8/layout/cycle4"/>
    <dgm:cxn modelId="{68D1EF31-3A4F-40A0-829F-FDB1B766FCC1}" type="presParOf" srcId="{645F9D70-F94B-48BD-873F-2B9B36598D2D}" destId="{1E510249-241B-422F-83B4-6E44A89120E3}" srcOrd="3" destOrd="0" presId="urn:microsoft.com/office/officeart/2005/8/layout/cycle4"/>
    <dgm:cxn modelId="{5B4A877D-040C-4B49-BDB6-A9DBF13B2B7D}" type="presParOf" srcId="{645F9D70-F94B-48BD-873F-2B9B36598D2D}" destId="{D648A85C-F98E-4E0C-9800-DCDF2B931B42}" srcOrd="4" destOrd="0" presId="urn:microsoft.com/office/officeart/2005/8/layout/cycle4"/>
    <dgm:cxn modelId="{E072A534-1866-498C-898D-B3C441725907}" type="presParOf" srcId="{D04467F6-3432-4C2A-970B-7723DAE34A14}" destId="{D087B94B-3637-4FE6-8D07-54838403313F}" srcOrd="2" destOrd="0" presId="urn:microsoft.com/office/officeart/2005/8/layout/cycle4"/>
    <dgm:cxn modelId="{D1E69E1F-8B7C-4FE5-B8F1-2AD0D5A438DC}" type="presParOf" srcId="{D04467F6-3432-4C2A-970B-7723DAE34A14}" destId="{1F2DF89C-BCF3-4405-92A0-2854056FD9DE}" srcOrd="3" destOrd="0" presId="urn:microsoft.com/office/officeart/2005/8/layout/cycle4"/>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011E9-CDED-4E83-ADF8-392FAC689E8F}">
      <dsp:nvSpPr>
        <dsp:cNvPr id="0" name=""/>
        <dsp:cNvSpPr/>
      </dsp:nvSpPr>
      <dsp:spPr>
        <a:xfrm>
          <a:off x="2343454" y="628268"/>
          <a:ext cx="1182595" cy="118259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o-RO" sz="1600" b="1" kern="1200">
              <a:latin typeface="Times New Roman" panose="02020603050405020304" pitchFamily="18" charset="0"/>
              <a:cs typeface="Times New Roman" panose="02020603050405020304" pitchFamily="18" charset="0"/>
            </a:rPr>
            <a:t>UIPFAE</a:t>
          </a:r>
          <a:endParaRPr lang="en-US" sz="1600" b="1" kern="1200">
            <a:latin typeface="Times New Roman" panose="02020603050405020304" pitchFamily="18" charset="0"/>
            <a:cs typeface="Times New Roman" panose="02020603050405020304" pitchFamily="18" charset="0"/>
          </a:endParaRPr>
        </a:p>
      </dsp:txBody>
      <dsp:txXfrm>
        <a:off x="2516641" y="801455"/>
        <a:ext cx="836221" cy="836221"/>
      </dsp:txXfrm>
    </dsp:sp>
    <dsp:sp modelId="{23C8B0E2-F7CA-4BB3-AD56-AC56F4E18DEE}">
      <dsp:nvSpPr>
        <dsp:cNvPr id="0" name=""/>
        <dsp:cNvSpPr/>
      </dsp:nvSpPr>
      <dsp:spPr>
        <a:xfrm>
          <a:off x="1735955" y="138817"/>
          <a:ext cx="2368301" cy="67700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Autoritatea Națională de coordonare a asistenței externe</a:t>
          </a:r>
          <a:endParaRPr lang="en-US" sz="1000" kern="1200">
            <a:latin typeface="Times New Roman" panose="02020603050405020304" pitchFamily="18" charset="0"/>
            <a:cs typeface="Times New Roman" panose="02020603050405020304" pitchFamily="18" charset="0"/>
          </a:endParaRPr>
        </a:p>
      </dsp:txBody>
      <dsp:txXfrm>
        <a:off x="2082785" y="237962"/>
        <a:ext cx="1674641" cy="478716"/>
      </dsp:txXfrm>
    </dsp:sp>
    <dsp:sp modelId="{85F83BE0-0253-4C07-A305-A8526637915F}">
      <dsp:nvSpPr>
        <dsp:cNvPr id="0" name=""/>
        <dsp:cNvSpPr/>
      </dsp:nvSpPr>
      <dsp:spPr>
        <a:xfrm>
          <a:off x="3385467" y="754974"/>
          <a:ext cx="2071198" cy="9078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Coordonatorul sectorial +</a:t>
          </a:r>
          <a:r>
            <a:rPr lang="en-US" sz="1000" kern="1200">
              <a:latin typeface="Times New Roman" panose="02020603050405020304" pitchFamily="18" charset="0"/>
              <a:cs typeface="Times New Roman" panose="02020603050405020304" pitchFamily="18" charset="0"/>
            </a:rPr>
            <a:t> </a:t>
          </a:r>
          <a:r>
            <a:rPr lang="ro-RO" sz="1000" kern="1200">
              <a:latin typeface="Times New Roman" panose="02020603050405020304" pitchFamily="18" charset="0"/>
              <a:cs typeface="Times New Roman" panose="02020603050405020304" pitchFamily="18" charset="0"/>
            </a:rPr>
            <a:t>Consiliile sectoriale</a:t>
          </a:r>
          <a:endParaRPr lang="en-US" sz="1000" kern="1200">
            <a:latin typeface="Times New Roman" panose="02020603050405020304" pitchFamily="18" charset="0"/>
            <a:cs typeface="Times New Roman" panose="02020603050405020304" pitchFamily="18" charset="0"/>
          </a:endParaRPr>
        </a:p>
      </dsp:txBody>
      <dsp:txXfrm>
        <a:off x="3688787" y="887925"/>
        <a:ext cx="1464558" cy="641941"/>
      </dsp:txXfrm>
    </dsp:sp>
    <dsp:sp modelId="{A02309C0-0A50-4A6E-9CE2-DEA5C9F7D089}">
      <dsp:nvSpPr>
        <dsp:cNvPr id="0" name=""/>
        <dsp:cNvSpPr/>
      </dsp:nvSpPr>
      <dsp:spPr>
        <a:xfrm>
          <a:off x="1882054" y="1671249"/>
          <a:ext cx="2182172" cy="53838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Partenerii externi de dezvoltare</a:t>
          </a:r>
          <a:endParaRPr lang="en-US" sz="1000" kern="1200">
            <a:latin typeface="Times New Roman" panose="02020603050405020304" pitchFamily="18" charset="0"/>
            <a:cs typeface="Times New Roman" panose="02020603050405020304" pitchFamily="18" charset="0"/>
          </a:endParaRPr>
        </a:p>
      </dsp:txBody>
      <dsp:txXfrm>
        <a:off x="2201626" y="1750093"/>
        <a:ext cx="1543028" cy="380694"/>
      </dsp:txXfrm>
    </dsp:sp>
    <dsp:sp modelId="{9B58009C-65CC-4C46-9689-E7B6D19BE311}">
      <dsp:nvSpPr>
        <dsp:cNvPr id="0" name=""/>
        <dsp:cNvSpPr/>
      </dsp:nvSpPr>
      <dsp:spPr>
        <a:xfrm>
          <a:off x="522875" y="790259"/>
          <a:ext cx="1980156" cy="85731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o-RO" sz="1000" kern="1200">
              <a:latin typeface="Times New Roman" panose="02020603050405020304" pitchFamily="18" charset="0"/>
              <a:cs typeface="Times New Roman" panose="02020603050405020304" pitchFamily="18" charset="0"/>
            </a:rPr>
            <a:t>Coordonatorul Național</a:t>
          </a:r>
          <a:endParaRPr lang="en-US" sz="1000" kern="1200">
            <a:latin typeface="Times New Roman" panose="02020603050405020304" pitchFamily="18" charset="0"/>
            <a:cs typeface="Times New Roman" panose="02020603050405020304" pitchFamily="18" charset="0"/>
          </a:endParaRPr>
        </a:p>
      </dsp:txBody>
      <dsp:txXfrm>
        <a:off x="812862" y="915810"/>
        <a:ext cx="1400182" cy="6062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E5EFB-C266-4F2A-8F48-A804DA6155C6}">
      <dsp:nvSpPr>
        <dsp:cNvPr id="0" name=""/>
        <dsp:cNvSpPr/>
      </dsp:nvSpPr>
      <dsp:spPr>
        <a:xfrm>
          <a:off x="1371135" y="207180"/>
          <a:ext cx="1573842" cy="1573842"/>
        </a:xfrm>
        <a:prstGeom prst="pieWedg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D" sz="1000" b="1" kern="1200">
              <a:solidFill>
                <a:schemeClr val="accent5">
                  <a:lumMod val="50000"/>
                </a:schemeClr>
              </a:solidFill>
            </a:rPr>
            <a:t>Claritatea rolurilor și a responsabilităților</a:t>
          </a:r>
          <a:endParaRPr lang="en-US" sz="1000" b="1" kern="1200">
            <a:solidFill>
              <a:schemeClr val="accent5">
                <a:lumMod val="50000"/>
              </a:schemeClr>
            </a:solidFill>
          </a:endParaRPr>
        </a:p>
      </dsp:txBody>
      <dsp:txXfrm>
        <a:off x="1832103" y="668148"/>
        <a:ext cx="1112874" cy="1112874"/>
      </dsp:txXfrm>
    </dsp:sp>
    <dsp:sp modelId="{6DB0C639-620E-425C-955F-81CE4C04B8D9}">
      <dsp:nvSpPr>
        <dsp:cNvPr id="0" name=""/>
        <dsp:cNvSpPr/>
      </dsp:nvSpPr>
      <dsp:spPr>
        <a:xfrm rot="5400000">
          <a:off x="3017672" y="207180"/>
          <a:ext cx="1573842" cy="1573842"/>
        </a:xfrm>
        <a:prstGeom prst="pieWedge">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D" sz="1000" b="1" kern="1200">
              <a:solidFill>
                <a:schemeClr val="accent5">
                  <a:lumMod val="50000"/>
                </a:schemeClr>
              </a:solidFill>
            </a:rPr>
            <a:t>Controlul riscurilor</a:t>
          </a:r>
        </a:p>
      </dsp:txBody>
      <dsp:txXfrm rot="-5400000">
        <a:off x="3017672" y="668148"/>
        <a:ext cx="1112874" cy="1112874"/>
      </dsp:txXfrm>
    </dsp:sp>
    <dsp:sp modelId="{5C16A564-6F57-40C2-B064-F611857F75AB}">
      <dsp:nvSpPr>
        <dsp:cNvPr id="0" name=""/>
        <dsp:cNvSpPr/>
      </dsp:nvSpPr>
      <dsp:spPr>
        <a:xfrm rot="10800000">
          <a:off x="3017672" y="1853717"/>
          <a:ext cx="1573842" cy="1573842"/>
        </a:xfrm>
        <a:prstGeom prst="pieWedge">
          <a:avLst/>
        </a:prstGeom>
        <a:gradFill rotWithShape="0">
          <a:gsLst>
            <a:gs pos="0">
              <a:schemeClr val="accent4">
                <a:hueOff val="6930461"/>
                <a:satOff val="-31979"/>
                <a:lumOff val="1177"/>
                <a:alphaOff val="0"/>
                <a:satMod val="103000"/>
                <a:lumMod val="102000"/>
                <a:tint val="94000"/>
              </a:schemeClr>
            </a:gs>
            <a:gs pos="50000">
              <a:schemeClr val="accent4">
                <a:hueOff val="6930461"/>
                <a:satOff val="-31979"/>
                <a:lumOff val="1177"/>
                <a:alphaOff val="0"/>
                <a:satMod val="110000"/>
                <a:lumMod val="100000"/>
                <a:shade val="100000"/>
              </a:schemeClr>
            </a:gs>
            <a:gs pos="100000">
              <a:schemeClr val="accent4">
                <a:hueOff val="6930461"/>
                <a:satOff val="-31979"/>
                <a:lumOff val="117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D" sz="1000" b="1" kern="1200">
              <a:solidFill>
                <a:schemeClr val="accent5">
                  <a:lumMod val="50000"/>
                </a:schemeClr>
              </a:solidFill>
            </a:rPr>
            <a:t>Standardizarea calității</a:t>
          </a:r>
        </a:p>
      </dsp:txBody>
      <dsp:txXfrm rot="10800000">
        <a:off x="3017672" y="1853717"/>
        <a:ext cx="1112874" cy="1112874"/>
      </dsp:txXfrm>
    </dsp:sp>
    <dsp:sp modelId="{1E510249-241B-422F-83B4-6E44A89120E3}">
      <dsp:nvSpPr>
        <dsp:cNvPr id="0" name=""/>
        <dsp:cNvSpPr/>
      </dsp:nvSpPr>
      <dsp:spPr>
        <a:xfrm rot="16200000">
          <a:off x="1371135" y="1853717"/>
          <a:ext cx="1573842" cy="1573842"/>
        </a:xfrm>
        <a:prstGeom prst="pieWedge">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o-MD" sz="1000" b="1" kern="1200">
              <a:solidFill>
                <a:schemeClr val="bg1"/>
              </a:solidFill>
            </a:rPr>
            <a:t>Transparență și conformitate</a:t>
          </a:r>
        </a:p>
      </dsp:txBody>
      <dsp:txXfrm rot="5400000">
        <a:off x="1832103" y="1853717"/>
        <a:ext cx="1112874" cy="1112874"/>
      </dsp:txXfrm>
    </dsp:sp>
    <dsp:sp modelId="{D087B94B-3637-4FE6-8D07-54838403313F}">
      <dsp:nvSpPr>
        <dsp:cNvPr id="0" name=""/>
        <dsp:cNvSpPr/>
      </dsp:nvSpPr>
      <dsp:spPr>
        <a:xfrm>
          <a:off x="2709628" y="1490243"/>
          <a:ext cx="543393" cy="472516"/>
        </a:xfrm>
        <a:prstGeom prst="circularArrow">
          <a:avLst/>
        </a:prstGeom>
        <a:solidFill>
          <a:schemeClr val="accent4">
            <a:tint val="4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F2DF89C-BCF3-4405-92A0-2854056FD9DE}">
      <dsp:nvSpPr>
        <dsp:cNvPr id="0" name=""/>
        <dsp:cNvSpPr/>
      </dsp:nvSpPr>
      <dsp:spPr>
        <a:xfrm rot="10800000">
          <a:off x="2709628" y="1671980"/>
          <a:ext cx="543393" cy="472516"/>
        </a:xfrm>
        <a:prstGeom prst="circularArrow">
          <a:avLst/>
        </a:prstGeom>
        <a:solidFill>
          <a:schemeClr val="accent4">
            <a:tint val="4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A947-E936-4FFE-974C-349F8DE5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28457</Words>
  <Characters>162209</Characters>
  <Application>Microsoft Office Word</Application>
  <DocSecurity>0</DocSecurity>
  <Lines>1351</Lines>
  <Paragraphs>380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Lîsîi Alexandru</dc:creator>
  <cp:keywords/>
  <dc:description/>
  <cp:lastModifiedBy>Paiu Eugenia</cp:lastModifiedBy>
  <cp:revision>2</cp:revision>
  <cp:lastPrinted>2024-12-26T13:40:00Z</cp:lastPrinted>
  <dcterms:created xsi:type="dcterms:W3CDTF">2024-12-30T14:13:00Z</dcterms:created>
  <dcterms:modified xsi:type="dcterms:W3CDTF">2024-12-30T14:13:00Z</dcterms:modified>
</cp:coreProperties>
</file>